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95609" w:rsidRPr="00145975" w:rsidRDefault="000617A3" w:rsidP="0086469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19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145975">
        <w:rPr>
          <w:rFonts w:ascii="Arial" w:hAnsi="Arial" w:cs="Arial"/>
          <w:b/>
          <w:bCs/>
          <w:color w:val="010000"/>
          <w:sz w:val="20"/>
        </w:rPr>
        <w:t>CTG123018:</w:t>
      </w:r>
      <w:r w:rsidRPr="00145975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41A385FB" w:rsidR="00395609" w:rsidRPr="00145975" w:rsidRDefault="000617A3" w:rsidP="0086469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19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45975">
        <w:rPr>
          <w:rFonts w:ascii="Arial" w:hAnsi="Arial" w:cs="Arial"/>
          <w:color w:val="010000"/>
          <w:sz w:val="20"/>
        </w:rPr>
        <w:t xml:space="preserve">On June 25, 2024, Corporate </w:t>
      </w:r>
      <w:r w:rsidR="00FC4F45" w:rsidRPr="00145975">
        <w:rPr>
          <w:rFonts w:ascii="Arial" w:hAnsi="Arial" w:cs="Arial"/>
          <w:color w:val="010000"/>
          <w:sz w:val="20"/>
        </w:rPr>
        <w:t>Bond</w:t>
      </w:r>
      <w:r w:rsidRPr="00145975">
        <w:rPr>
          <w:rFonts w:ascii="Arial" w:hAnsi="Arial" w:cs="Arial"/>
          <w:color w:val="010000"/>
          <w:sz w:val="20"/>
        </w:rPr>
        <w:t xml:space="preserve"> of Vietnam Joint Stock Commercial Bank of Industry and Trade announced Resolution </w:t>
      </w:r>
      <w:r w:rsidR="00856AB6" w:rsidRPr="00145975">
        <w:rPr>
          <w:rFonts w:ascii="Arial" w:hAnsi="Arial" w:cs="Arial"/>
          <w:color w:val="010000"/>
          <w:sz w:val="20"/>
        </w:rPr>
        <w:t xml:space="preserve">No. </w:t>
      </w:r>
      <w:r w:rsidRPr="00145975">
        <w:rPr>
          <w:rFonts w:ascii="Arial" w:hAnsi="Arial" w:cs="Arial"/>
          <w:color w:val="010000"/>
          <w:sz w:val="20"/>
        </w:rPr>
        <w:t>224/NQ-HDQT-NHCT-VPHDQT</w:t>
      </w:r>
      <w:r w:rsidR="004A475C">
        <w:rPr>
          <w:rFonts w:ascii="Arial" w:hAnsi="Arial" w:cs="Arial"/>
          <w:color w:val="010000"/>
          <w:sz w:val="20"/>
        </w:rPr>
        <w:t>1</w:t>
      </w:r>
      <w:r w:rsidRPr="00145975">
        <w:rPr>
          <w:rFonts w:ascii="Arial" w:hAnsi="Arial" w:cs="Arial"/>
          <w:color w:val="010000"/>
          <w:sz w:val="20"/>
        </w:rPr>
        <w:t xml:space="preserve"> on the approval of amendments and the issuance of the </w:t>
      </w:r>
      <w:r w:rsidR="00DA2E62" w:rsidRPr="00145975">
        <w:rPr>
          <w:rFonts w:ascii="Arial" w:hAnsi="Arial" w:cs="Arial"/>
          <w:color w:val="010000"/>
          <w:sz w:val="20"/>
        </w:rPr>
        <w:t xml:space="preserve">charter on </w:t>
      </w:r>
      <w:r w:rsidRPr="00145975">
        <w:rPr>
          <w:rFonts w:ascii="Arial" w:hAnsi="Arial" w:cs="Arial"/>
          <w:color w:val="010000"/>
          <w:sz w:val="20"/>
        </w:rPr>
        <w:t xml:space="preserve">organization and operations of </w:t>
      </w:r>
      <w:proofErr w:type="spellStart"/>
      <w:r w:rsidRPr="00145975">
        <w:rPr>
          <w:rFonts w:ascii="Arial" w:hAnsi="Arial" w:cs="Arial"/>
          <w:color w:val="010000"/>
          <w:sz w:val="20"/>
        </w:rPr>
        <w:t>VietinBank</w:t>
      </w:r>
      <w:proofErr w:type="spellEnd"/>
      <w:r w:rsidRPr="00145975">
        <w:rPr>
          <w:rFonts w:ascii="Arial" w:hAnsi="Arial" w:cs="Arial"/>
          <w:color w:val="010000"/>
          <w:sz w:val="20"/>
        </w:rPr>
        <w:t xml:space="preserve"> as follows:</w:t>
      </w:r>
    </w:p>
    <w:p w14:paraId="00000003" w14:textId="2E19FAC6" w:rsidR="00395609" w:rsidRPr="00145975" w:rsidRDefault="000617A3" w:rsidP="0086469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45975">
        <w:rPr>
          <w:rFonts w:ascii="Arial" w:hAnsi="Arial" w:cs="Arial"/>
          <w:color w:val="010000"/>
          <w:sz w:val="20"/>
        </w:rPr>
        <w:t xml:space="preserve">Article 1: The amendments to certain articles </w:t>
      </w:r>
      <w:r w:rsidR="00DA2E62" w:rsidRPr="00145975">
        <w:rPr>
          <w:rFonts w:ascii="Arial" w:hAnsi="Arial" w:cs="Arial"/>
          <w:color w:val="010000"/>
          <w:sz w:val="20"/>
        </w:rPr>
        <w:t xml:space="preserve">in the charter on organization and operations </w:t>
      </w:r>
      <w:r w:rsidRPr="00145975">
        <w:rPr>
          <w:rFonts w:ascii="Arial" w:hAnsi="Arial" w:cs="Arial"/>
          <w:color w:val="010000"/>
          <w:sz w:val="20"/>
        </w:rPr>
        <w:t xml:space="preserve">of </w:t>
      </w:r>
      <w:proofErr w:type="spellStart"/>
      <w:r w:rsidRPr="00145975">
        <w:rPr>
          <w:rFonts w:ascii="Arial" w:hAnsi="Arial" w:cs="Arial"/>
          <w:color w:val="010000"/>
          <w:sz w:val="20"/>
        </w:rPr>
        <w:t>VietinBank</w:t>
      </w:r>
      <w:proofErr w:type="spellEnd"/>
      <w:r w:rsidRPr="00145975">
        <w:rPr>
          <w:rFonts w:ascii="Arial" w:hAnsi="Arial" w:cs="Arial"/>
          <w:color w:val="010000"/>
          <w:sz w:val="20"/>
        </w:rPr>
        <w:t xml:space="preserve">, as approved by the General Meeting of Shareholders in </w:t>
      </w:r>
      <w:r w:rsidR="00DA2E62" w:rsidRPr="00145975">
        <w:rPr>
          <w:rFonts w:ascii="Arial" w:hAnsi="Arial" w:cs="Arial"/>
          <w:color w:val="010000"/>
          <w:sz w:val="20"/>
        </w:rPr>
        <w:t>General Mandate</w:t>
      </w:r>
      <w:r w:rsidRPr="00145975">
        <w:rPr>
          <w:rFonts w:ascii="Arial" w:hAnsi="Arial" w:cs="Arial"/>
          <w:color w:val="010000"/>
          <w:sz w:val="20"/>
        </w:rPr>
        <w:t xml:space="preserve"> </w:t>
      </w:r>
      <w:r w:rsidR="00856AB6" w:rsidRPr="00145975">
        <w:rPr>
          <w:rFonts w:ascii="Arial" w:hAnsi="Arial" w:cs="Arial"/>
          <w:color w:val="010000"/>
          <w:sz w:val="20"/>
        </w:rPr>
        <w:t xml:space="preserve">No. </w:t>
      </w:r>
      <w:r w:rsidRPr="00145975">
        <w:rPr>
          <w:rFonts w:ascii="Arial" w:hAnsi="Arial" w:cs="Arial"/>
          <w:color w:val="010000"/>
          <w:sz w:val="20"/>
        </w:rPr>
        <w:t>27/NQ-DHDCD dated April 27, 2024, are as follows:</w:t>
      </w:r>
    </w:p>
    <w:p w14:paraId="00000004" w14:textId="77777777" w:rsidR="00395609" w:rsidRPr="00145975" w:rsidRDefault="000617A3" w:rsidP="008646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45975">
        <w:rPr>
          <w:rFonts w:ascii="Arial" w:hAnsi="Arial" w:cs="Arial"/>
          <w:color w:val="010000"/>
          <w:sz w:val="20"/>
        </w:rPr>
        <w:t>Amend Point b, Clause 5, Article 23.</w:t>
      </w:r>
    </w:p>
    <w:p w14:paraId="00000005" w14:textId="77777777" w:rsidR="00395609" w:rsidRPr="00145975" w:rsidRDefault="000617A3" w:rsidP="0086469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45975">
        <w:rPr>
          <w:rFonts w:ascii="Arial" w:hAnsi="Arial" w:cs="Arial"/>
          <w:color w:val="010000"/>
          <w:sz w:val="20"/>
        </w:rPr>
        <w:t>Article 23: Shareholders’ right</w:t>
      </w:r>
    </w:p>
    <w:p w14:paraId="00000006" w14:textId="339E492F" w:rsidR="00395609" w:rsidRPr="00145975" w:rsidRDefault="000617A3" w:rsidP="0086469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45975">
        <w:rPr>
          <w:rFonts w:ascii="Arial" w:hAnsi="Arial" w:cs="Arial"/>
          <w:color w:val="010000"/>
          <w:sz w:val="20"/>
        </w:rPr>
        <w:t xml:space="preserve">Point </w:t>
      </w:r>
      <w:r w:rsidR="00FC4F45" w:rsidRPr="00145975">
        <w:rPr>
          <w:rFonts w:ascii="Arial" w:hAnsi="Arial" w:cs="Arial"/>
          <w:color w:val="010000"/>
          <w:sz w:val="20"/>
        </w:rPr>
        <w:t>b</w:t>
      </w:r>
      <w:r w:rsidRPr="00145975">
        <w:rPr>
          <w:rFonts w:ascii="Arial" w:hAnsi="Arial" w:cs="Arial"/>
          <w:color w:val="010000"/>
          <w:sz w:val="20"/>
        </w:rPr>
        <w:t>, Clause 5</w:t>
      </w:r>
    </w:p>
    <w:p w14:paraId="344020E6" w14:textId="77777777" w:rsidR="00DA2E62" w:rsidRPr="00145975" w:rsidRDefault="000617A3" w:rsidP="0086469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145975">
        <w:rPr>
          <w:rFonts w:ascii="Arial" w:hAnsi="Arial" w:cs="Arial"/>
          <w:color w:val="010000"/>
          <w:sz w:val="20"/>
        </w:rPr>
        <w:t>Shareholders are organizations owning:</w:t>
      </w:r>
    </w:p>
    <w:p w14:paraId="00000007" w14:textId="258F8323" w:rsidR="00395609" w:rsidRPr="00145975" w:rsidRDefault="000617A3" w:rsidP="0086469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45975">
        <w:rPr>
          <w:rFonts w:ascii="Arial" w:hAnsi="Arial" w:cs="Arial"/>
          <w:color w:val="010000"/>
          <w:sz w:val="20"/>
        </w:rPr>
        <w:t xml:space="preserve">From 5% up to less than 10% of the total common shares, </w:t>
      </w:r>
      <w:r w:rsidR="00DA2E62" w:rsidRPr="00145975">
        <w:rPr>
          <w:rFonts w:ascii="Arial" w:hAnsi="Arial" w:cs="Arial"/>
          <w:color w:val="010000"/>
          <w:sz w:val="20"/>
        </w:rPr>
        <w:t xml:space="preserve">will have the </w:t>
      </w:r>
      <w:r w:rsidRPr="00145975">
        <w:rPr>
          <w:rFonts w:ascii="Arial" w:hAnsi="Arial" w:cs="Arial"/>
          <w:color w:val="010000"/>
          <w:sz w:val="20"/>
        </w:rPr>
        <w:t xml:space="preserve">maximum authorization </w:t>
      </w:r>
      <w:r w:rsidR="00DA2E62" w:rsidRPr="00145975">
        <w:rPr>
          <w:rFonts w:ascii="Arial" w:hAnsi="Arial" w:cs="Arial"/>
          <w:color w:val="010000"/>
          <w:sz w:val="20"/>
        </w:rPr>
        <w:t xml:space="preserve">right </w:t>
      </w:r>
      <w:r w:rsidRPr="00145975">
        <w:rPr>
          <w:rFonts w:ascii="Arial" w:hAnsi="Arial" w:cs="Arial"/>
          <w:color w:val="010000"/>
          <w:sz w:val="20"/>
        </w:rPr>
        <w:t xml:space="preserve">to 01 </w:t>
      </w:r>
      <w:proofErr w:type="gramStart"/>
      <w:r w:rsidRPr="00145975">
        <w:rPr>
          <w:rFonts w:ascii="Arial" w:hAnsi="Arial" w:cs="Arial"/>
          <w:color w:val="010000"/>
          <w:sz w:val="20"/>
        </w:rPr>
        <w:t>representative</w:t>
      </w:r>
      <w:proofErr w:type="gramEnd"/>
      <w:r w:rsidRPr="00145975">
        <w:rPr>
          <w:rFonts w:ascii="Arial" w:hAnsi="Arial" w:cs="Arial"/>
          <w:color w:val="010000"/>
          <w:sz w:val="20"/>
        </w:rPr>
        <w:t xml:space="preserve">. From 10% up to less than 30% of the total common shares, </w:t>
      </w:r>
      <w:r w:rsidR="00DA2E62" w:rsidRPr="00145975">
        <w:rPr>
          <w:rFonts w:ascii="Arial" w:hAnsi="Arial" w:cs="Arial"/>
          <w:color w:val="010000"/>
          <w:sz w:val="20"/>
        </w:rPr>
        <w:t xml:space="preserve">will have the maximum authorization right to </w:t>
      </w:r>
      <w:r w:rsidRPr="00145975">
        <w:rPr>
          <w:rFonts w:ascii="Arial" w:hAnsi="Arial" w:cs="Arial"/>
          <w:color w:val="010000"/>
          <w:sz w:val="20"/>
        </w:rPr>
        <w:t xml:space="preserve">02 representatives. From 30% up to less than 40% of the total common shares, </w:t>
      </w:r>
      <w:r w:rsidR="00DA2E62" w:rsidRPr="00145975">
        <w:rPr>
          <w:rFonts w:ascii="Arial" w:hAnsi="Arial" w:cs="Arial"/>
          <w:color w:val="010000"/>
          <w:sz w:val="20"/>
        </w:rPr>
        <w:t xml:space="preserve">will have the maximum authorization right to </w:t>
      </w:r>
      <w:r w:rsidRPr="00145975">
        <w:rPr>
          <w:rFonts w:ascii="Arial" w:hAnsi="Arial" w:cs="Arial"/>
          <w:color w:val="010000"/>
          <w:sz w:val="20"/>
        </w:rPr>
        <w:t xml:space="preserve">03 representatives. From 40% up to less than 50% of the total common shares, </w:t>
      </w:r>
      <w:r w:rsidR="00DA2E62" w:rsidRPr="00145975">
        <w:rPr>
          <w:rFonts w:ascii="Arial" w:hAnsi="Arial" w:cs="Arial"/>
          <w:color w:val="010000"/>
          <w:sz w:val="20"/>
        </w:rPr>
        <w:t>w</w:t>
      </w:r>
      <w:bookmarkStart w:id="0" w:name="_GoBack"/>
      <w:bookmarkEnd w:id="0"/>
      <w:r w:rsidR="00DA2E62" w:rsidRPr="00145975">
        <w:rPr>
          <w:rFonts w:ascii="Arial" w:hAnsi="Arial" w:cs="Arial"/>
          <w:color w:val="010000"/>
          <w:sz w:val="20"/>
        </w:rPr>
        <w:t xml:space="preserve">ill have the maximum authorization right to </w:t>
      </w:r>
      <w:r w:rsidRPr="00145975">
        <w:rPr>
          <w:rFonts w:ascii="Arial" w:hAnsi="Arial" w:cs="Arial"/>
          <w:color w:val="010000"/>
          <w:sz w:val="20"/>
        </w:rPr>
        <w:t>04 representatives.</w:t>
      </w:r>
      <w:r w:rsidR="00145975" w:rsidRPr="00145975">
        <w:rPr>
          <w:rFonts w:ascii="Arial" w:hAnsi="Arial" w:cs="Arial"/>
          <w:color w:val="010000"/>
          <w:sz w:val="20"/>
        </w:rPr>
        <w:t xml:space="preserve"> </w:t>
      </w:r>
      <w:r w:rsidRPr="00145975">
        <w:rPr>
          <w:rFonts w:ascii="Arial" w:hAnsi="Arial" w:cs="Arial"/>
          <w:color w:val="010000"/>
          <w:sz w:val="20"/>
        </w:rPr>
        <w:t>50% or more of the total common shares</w:t>
      </w:r>
      <w:r w:rsidR="00DA2E62" w:rsidRPr="00145975">
        <w:rPr>
          <w:rFonts w:ascii="Arial" w:hAnsi="Arial" w:cs="Arial"/>
          <w:color w:val="010000"/>
          <w:sz w:val="20"/>
        </w:rPr>
        <w:t xml:space="preserve"> will have the maximum authorization right to the number of representatives </w:t>
      </w:r>
      <w:r w:rsidRPr="00145975">
        <w:rPr>
          <w:rFonts w:ascii="Arial" w:hAnsi="Arial" w:cs="Arial"/>
          <w:color w:val="010000"/>
          <w:sz w:val="20"/>
        </w:rPr>
        <w:t>equal to the number of candidates nominated for the Board of Directors.</w:t>
      </w:r>
    </w:p>
    <w:p w14:paraId="00000008" w14:textId="77777777" w:rsidR="00395609" w:rsidRPr="00145975" w:rsidRDefault="000617A3" w:rsidP="008646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5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45975">
        <w:rPr>
          <w:rFonts w:ascii="Arial" w:hAnsi="Arial" w:cs="Arial"/>
          <w:color w:val="010000"/>
          <w:sz w:val="20"/>
        </w:rPr>
        <w:t>Amend Article 37:</w:t>
      </w:r>
    </w:p>
    <w:p w14:paraId="00000009" w14:textId="77777777" w:rsidR="00395609" w:rsidRPr="00145975" w:rsidRDefault="000617A3" w:rsidP="0086469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45975">
        <w:rPr>
          <w:rFonts w:ascii="Arial" w:hAnsi="Arial" w:cs="Arial"/>
          <w:color w:val="010000"/>
          <w:sz w:val="20"/>
        </w:rPr>
        <w:t>Article 37: Nominate members of the Board of Directors</w:t>
      </w:r>
    </w:p>
    <w:p w14:paraId="0000000A" w14:textId="5E45DE72" w:rsidR="00395609" w:rsidRPr="00145975" w:rsidRDefault="000617A3" w:rsidP="0086469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45975">
        <w:rPr>
          <w:rFonts w:ascii="Arial" w:hAnsi="Arial" w:cs="Arial"/>
          <w:color w:val="010000"/>
          <w:sz w:val="20"/>
        </w:rPr>
        <w:t xml:space="preserve">Shareholders or groups of shareholders owning 05% of total common shares or more have the right to nominate candidates to elect additional members of the Board of Directors: The nomination of individuals to the Board of Directors is carried out as follows: Shareholders or groups of shareholders holding from 5% up to less than 30% are </w:t>
      </w:r>
      <w:r w:rsidR="00DA2E62" w:rsidRPr="00145975">
        <w:rPr>
          <w:rFonts w:ascii="Arial" w:hAnsi="Arial" w:cs="Arial"/>
          <w:color w:val="010000"/>
          <w:sz w:val="20"/>
        </w:rPr>
        <w:t>entitled</w:t>
      </w:r>
      <w:r w:rsidRPr="00145975">
        <w:rPr>
          <w:rFonts w:ascii="Arial" w:hAnsi="Arial" w:cs="Arial"/>
          <w:color w:val="010000"/>
          <w:sz w:val="20"/>
        </w:rPr>
        <w:t xml:space="preserve"> to nominate a maximum of 2 candidates. Shareholders holding from 30% up to less than 40% </w:t>
      </w:r>
      <w:r w:rsidR="00DA2E62" w:rsidRPr="00145975">
        <w:rPr>
          <w:rFonts w:ascii="Arial" w:hAnsi="Arial" w:cs="Arial"/>
          <w:color w:val="010000"/>
          <w:sz w:val="20"/>
        </w:rPr>
        <w:t>are entitled</w:t>
      </w:r>
      <w:r w:rsidRPr="00145975">
        <w:rPr>
          <w:rFonts w:ascii="Arial" w:hAnsi="Arial" w:cs="Arial"/>
          <w:color w:val="010000"/>
          <w:sz w:val="20"/>
        </w:rPr>
        <w:t xml:space="preserve"> </w:t>
      </w:r>
      <w:r w:rsidR="00DA2E62" w:rsidRPr="00145975">
        <w:rPr>
          <w:rFonts w:ascii="Arial" w:hAnsi="Arial" w:cs="Arial"/>
          <w:color w:val="010000"/>
          <w:sz w:val="20"/>
        </w:rPr>
        <w:t xml:space="preserve">to </w:t>
      </w:r>
      <w:r w:rsidRPr="00145975">
        <w:rPr>
          <w:rFonts w:ascii="Arial" w:hAnsi="Arial" w:cs="Arial"/>
          <w:color w:val="010000"/>
          <w:sz w:val="20"/>
        </w:rPr>
        <w:t xml:space="preserve">nominate up to 3 candidates. Shareholders holding from 40% up to less than 50% </w:t>
      </w:r>
      <w:r w:rsidR="00DA2E62" w:rsidRPr="00145975">
        <w:rPr>
          <w:rFonts w:ascii="Arial" w:hAnsi="Arial" w:cs="Arial"/>
          <w:color w:val="010000"/>
          <w:sz w:val="20"/>
        </w:rPr>
        <w:t>are entitled</w:t>
      </w:r>
      <w:r w:rsidRPr="00145975">
        <w:rPr>
          <w:rFonts w:ascii="Arial" w:hAnsi="Arial" w:cs="Arial"/>
          <w:color w:val="010000"/>
          <w:sz w:val="20"/>
        </w:rPr>
        <w:t xml:space="preserve"> </w:t>
      </w:r>
      <w:r w:rsidR="00DA2E62" w:rsidRPr="00145975">
        <w:rPr>
          <w:rFonts w:ascii="Arial" w:hAnsi="Arial" w:cs="Arial"/>
          <w:color w:val="010000"/>
          <w:sz w:val="20"/>
        </w:rPr>
        <w:t xml:space="preserve">to </w:t>
      </w:r>
      <w:r w:rsidRPr="00145975">
        <w:rPr>
          <w:rFonts w:ascii="Arial" w:hAnsi="Arial" w:cs="Arial"/>
          <w:color w:val="010000"/>
          <w:sz w:val="20"/>
        </w:rPr>
        <w:t xml:space="preserve">nominate up to 4 candidates. Shareholders holding 50% or more </w:t>
      </w:r>
      <w:r w:rsidR="00DA2E62" w:rsidRPr="00145975">
        <w:rPr>
          <w:rFonts w:ascii="Arial" w:hAnsi="Arial" w:cs="Arial"/>
          <w:color w:val="010000"/>
          <w:sz w:val="20"/>
        </w:rPr>
        <w:t xml:space="preserve">are entitled to </w:t>
      </w:r>
      <w:r w:rsidRPr="00145975">
        <w:rPr>
          <w:rFonts w:ascii="Arial" w:hAnsi="Arial" w:cs="Arial"/>
          <w:color w:val="010000"/>
          <w:sz w:val="20"/>
        </w:rPr>
        <w:t xml:space="preserve">nominate candidates up to the number of board members as regulated by law and </w:t>
      </w:r>
      <w:proofErr w:type="spellStart"/>
      <w:r w:rsidRPr="00145975">
        <w:rPr>
          <w:rFonts w:ascii="Arial" w:hAnsi="Arial" w:cs="Arial"/>
          <w:color w:val="010000"/>
          <w:sz w:val="20"/>
        </w:rPr>
        <w:t>VietinBank’s</w:t>
      </w:r>
      <w:proofErr w:type="spellEnd"/>
      <w:r w:rsidRPr="00145975">
        <w:rPr>
          <w:rFonts w:ascii="Arial" w:hAnsi="Arial" w:cs="Arial"/>
          <w:color w:val="010000"/>
          <w:sz w:val="20"/>
        </w:rPr>
        <w:t xml:space="preserve"> charter.</w:t>
      </w:r>
    </w:p>
    <w:p w14:paraId="0000000B" w14:textId="2E71BC54" w:rsidR="00395609" w:rsidRPr="00145975" w:rsidRDefault="000617A3" w:rsidP="0086469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45975">
        <w:rPr>
          <w:rFonts w:ascii="Arial" w:hAnsi="Arial" w:cs="Arial"/>
          <w:color w:val="010000"/>
          <w:sz w:val="20"/>
        </w:rPr>
        <w:t xml:space="preserve">Article 2: Assign the Chair of the Board of Directors to sign and issue the amended and supplemented the </w:t>
      </w:r>
      <w:r w:rsidR="00232123" w:rsidRPr="00145975">
        <w:rPr>
          <w:rFonts w:ascii="Arial" w:hAnsi="Arial" w:cs="Arial"/>
          <w:color w:val="010000"/>
          <w:sz w:val="20"/>
        </w:rPr>
        <w:t xml:space="preserve">charter on organization and operation </w:t>
      </w:r>
      <w:r w:rsidRPr="00145975">
        <w:rPr>
          <w:rFonts w:ascii="Arial" w:hAnsi="Arial" w:cs="Arial"/>
          <w:color w:val="010000"/>
          <w:sz w:val="20"/>
        </w:rPr>
        <w:t xml:space="preserve">of </w:t>
      </w:r>
      <w:proofErr w:type="spellStart"/>
      <w:r w:rsidRPr="00145975">
        <w:rPr>
          <w:rFonts w:ascii="Arial" w:hAnsi="Arial" w:cs="Arial"/>
          <w:color w:val="010000"/>
          <w:sz w:val="20"/>
        </w:rPr>
        <w:t>VietinBank</w:t>
      </w:r>
      <w:proofErr w:type="spellEnd"/>
      <w:r w:rsidRPr="00145975">
        <w:rPr>
          <w:rFonts w:ascii="Arial" w:hAnsi="Arial" w:cs="Arial"/>
          <w:color w:val="010000"/>
          <w:sz w:val="20"/>
        </w:rPr>
        <w:t xml:space="preserve">, consolidating the amendments approved by the General Meeting of Shareholders (in </w:t>
      </w:r>
      <w:r w:rsidR="00232123" w:rsidRPr="00145975">
        <w:rPr>
          <w:rFonts w:ascii="Arial" w:hAnsi="Arial" w:cs="Arial"/>
          <w:color w:val="010000"/>
          <w:sz w:val="20"/>
        </w:rPr>
        <w:t>General Mandate</w:t>
      </w:r>
      <w:r w:rsidRPr="00145975">
        <w:rPr>
          <w:rFonts w:ascii="Arial" w:hAnsi="Arial" w:cs="Arial"/>
          <w:color w:val="010000"/>
          <w:sz w:val="20"/>
        </w:rPr>
        <w:t xml:space="preserve"> </w:t>
      </w:r>
      <w:r w:rsidR="00856AB6" w:rsidRPr="00145975">
        <w:rPr>
          <w:rFonts w:ascii="Arial" w:hAnsi="Arial" w:cs="Arial"/>
          <w:color w:val="010000"/>
          <w:sz w:val="20"/>
        </w:rPr>
        <w:t xml:space="preserve">No. </w:t>
      </w:r>
      <w:r w:rsidRPr="00145975">
        <w:rPr>
          <w:rFonts w:ascii="Arial" w:hAnsi="Arial" w:cs="Arial"/>
          <w:color w:val="010000"/>
          <w:sz w:val="20"/>
        </w:rPr>
        <w:t xml:space="preserve">27/NQ-DHDCD dated April 27, 2024) and the amendments approved by the </w:t>
      </w:r>
      <w:proofErr w:type="spellStart"/>
      <w:r w:rsidRPr="00145975">
        <w:rPr>
          <w:rFonts w:ascii="Arial" w:hAnsi="Arial" w:cs="Arial"/>
          <w:color w:val="010000"/>
          <w:sz w:val="20"/>
        </w:rPr>
        <w:t>VietinBank's</w:t>
      </w:r>
      <w:proofErr w:type="spellEnd"/>
      <w:r w:rsidRPr="00145975">
        <w:rPr>
          <w:rFonts w:ascii="Arial" w:hAnsi="Arial" w:cs="Arial"/>
          <w:color w:val="010000"/>
          <w:sz w:val="20"/>
        </w:rPr>
        <w:t xml:space="preserve"> Board of Directors in Article 1 of this Resolution.</w:t>
      </w:r>
    </w:p>
    <w:p w14:paraId="0000000C" w14:textId="77777777" w:rsidR="00395609" w:rsidRPr="00145975" w:rsidRDefault="000617A3" w:rsidP="0086469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45975">
        <w:rPr>
          <w:rFonts w:ascii="Arial" w:hAnsi="Arial" w:cs="Arial"/>
          <w:color w:val="010000"/>
          <w:sz w:val="20"/>
        </w:rPr>
        <w:t>Article 3: Terms of enforcement</w:t>
      </w:r>
    </w:p>
    <w:p w14:paraId="0000000D" w14:textId="77777777" w:rsidR="00395609" w:rsidRPr="00145975" w:rsidRDefault="000617A3" w:rsidP="008646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6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45975">
        <w:rPr>
          <w:rFonts w:ascii="Arial" w:hAnsi="Arial" w:cs="Arial"/>
          <w:color w:val="010000"/>
          <w:sz w:val="20"/>
        </w:rPr>
        <w:t>This Resolution takes effect from the date of its signing.</w:t>
      </w:r>
    </w:p>
    <w:p w14:paraId="0000000E" w14:textId="77777777" w:rsidR="00395609" w:rsidRPr="00145975" w:rsidRDefault="000617A3" w:rsidP="008646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0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45975">
        <w:rPr>
          <w:rFonts w:ascii="Arial" w:hAnsi="Arial" w:cs="Arial"/>
          <w:color w:val="010000"/>
          <w:sz w:val="20"/>
        </w:rPr>
        <w:t xml:space="preserve">Members of the Board of Directors, Member of the Executive Board; Manager of Professional </w:t>
      </w:r>
      <w:r w:rsidRPr="00145975">
        <w:rPr>
          <w:rFonts w:ascii="Arial" w:hAnsi="Arial" w:cs="Arial"/>
          <w:color w:val="010000"/>
          <w:sz w:val="20"/>
        </w:rPr>
        <w:lastRenderedPageBreak/>
        <w:t xml:space="preserve">Divisions; Head of Departments, Centers, Units at Head Office; The related units and individuals to the system of </w:t>
      </w:r>
      <w:proofErr w:type="spellStart"/>
      <w:r w:rsidRPr="00145975">
        <w:rPr>
          <w:rFonts w:ascii="Arial" w:hAnsi="Arial" w:cs="Arial"/>
          <w:color w:val="010000"/>
          <w:sz w:val="20"/>
        </w:rPr>
        <w:t>VietinBank</w:t>
      </w:r>
      <w:proofErr w:type="spellEnd"/>
      <w:r w:rsidRPr="00145975">
        <w:rPr>
          <w:rFonts w:ascii="Arial" w:hAnsi="Arial" w:cs="Arial"/>
          <w:color w:val="010000"/>
          <w:sz w:val="20"/>
        </w:rPr>
        <w:t xml:space="preserve"> are responsible for implementing this Resolution.</w:t>
      </w:r>
    </w:p>
    <w:sectPr w:rsidR="00395609" w:rsidRPr="00145975" w:rsidSect="00856AB6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 Display">
    <w:altName w:val="Times New Roman"/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07130"/>
    <w:multiLevelType w:val="multilevel"/>
    <w:tmpl w:val="3F645DC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A7B3049"/>
    <w:multiLevelType w:val="multilevel"/>
    <w:tmpl w:val="5164FB0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609"/>
    <w:rsid w:val="000617A3"/>
    <w:rsid w:val="00145975"/>
    <w:rsid w:val="00232123"/>
    <w:rsid w:val="00395609"/>
    <w:rsid w:val="004A475C"/>
    <w:rsid w:val="004C2954"/>
    <w:rsid w:val="00856AB6"/>
    <w:rsid w:val="00864694"/>
    <w:rsid w:val="009E027F"/>
    <w:rsid w:val="00B77804"/>
    <w:rsid w:val="00DA2E62"/>
    <w:rsid w:val="00FC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21C15B"/>
  <w15:docId w15:val="{2B311F54-5521-4735-8E6B-9CA4E65F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Heading30">
    <w:name w:val="Heading #3_"/>
    <w:basedOn w:val="DefaultParagraphFont"/>
    <w:link w:val="Heading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  <w:shd w:val="clear" w:color="auto" w:fill="auto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 w:val="0"/>
      <w:bCs w:val="0"/>
      <w:i/>
      <w:iCs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7">
    <w:name w:val="Body text (7)_"/>
    <w:basedOn w:val="DefaultParagraphFont"/>
    <w:link w:val="Bodytext70"/>
    <w:rPr>
      <w:rFonts w:ascii="Arial" w:eastAsia="Arial" w:hAnsi="Arial" w:cs="Arial"/>
      <w:b w:val="0"/>
      <w:bCs w:val="0"/>
      <w:i/>
      <w:iCs/>
      <w:smallCaps w:val="0"/>
      <w:strike w:val="0"/>
      <w:color w:val="C02E3B"/>
      <w:sz w:val="19"/>
      <w:szCs w:val="19"/>
      <w:u w:val="none"/>
      <w:shd w:val="clear" w:color="auto" w:fill="auto"/>
    </w:rPr>
  </w:style>
  <w:style w:type="character" w:customStyle="1" w:styleId="Bodytext8">
    <w:name w:val="Body text (8)_"/>
    <w:basedOn w:val="DefaultParagraphFont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32"/>
      <w:szCs w:val="32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Arial" w:eastAsia="Arial" w:hAnsi="Arial" w:cs="Arial"/>
      <w:b w:val="0"/>
      <w:bCs w:val="0"/>
      <w:i w:val="0"/>
      <w:iCs w:val="0"/>
      <w:smallCaps w:val="0"/>
      <w:strike w:val="0"/>
      <w:color w:val="C02E3B"/>
      <w:sz w:val="28"/>
      <w:szCs w:val="28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C02E3B"/>
      <w:sz w:val="32"/>
      <w:szCs w:val="3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0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31">
    <w:name w:val="Heading #3"/>
    <w:basedOn w:val="Normal"/>
    <w:link w:val="Heading30"/>
    <w:pPr>
      <w:spacing w:line="298" w:lineRule="auto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Normal"/>
    <w:link w:val="Bodytext2"/>
    <w:pPr>
      <w:spacing w:line="264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Tableofcontents0">
    <w:name w:val="Table of contents"/>
    <w:basedOn w:val="Normal"/>
    <w:link w:val="Tableofcontents"/>
    <w:pPr>
      <w:ind w:firstLine="2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60">
    <w:name w:val="Body text (6)"/>
    <w:basedOn w:val="Normal"/>
    <w:link w:val="Bodytext6"/>
    <w:pPr>
      <w:jc w:val="right"/>
    </w:pPr>
    <w:rPr>
      <w:rFonts w:ascii="Arial" w:eastAsia="Arial" w:hAnsi="Arial" w:cs="Arial"/>
      <w:i/>
      <w:iCs/>
      <w:sz w:val="28"/>
      <w:szCs w:val="28"/>
    </w:rPr>
  </w:style>
  <w:style w:type="paragraph" w:customStyle="1" w:styleId="Bodytext70">
    <w:name w:val="Body text (7)"/>
    <w:basedOn w:val="Normal"/>
    <w:link w:val="Bodytext7"/>
    <w:pPr>
      <w:spacing w:line="276" w:lineRule="auto"/>
      <w:jc w:val="center"/>
    </w:pPr>
    <w:rPr>
      <w:rFonts w:ascii="Arial" w:eastAsia="Arial" w:hAnsi="Arial" w:cs="Arial"/>
      <w:i/>
      <w:iCs/>
      <w:color w:val="C02E3B"/>
      <w:sz w:val="19"/>
      <w:szCs w:val="19"/>
    </w:rPr>
  </w:style>
  <w:style w:type="paragraph" w:customStyle="1" w:styleId="Bodytext80">
    <w:name w:val="Body text (8)"/>
    <w:basedOn w:val="Normal"/>
    <w:link w:val="Bodytext8"/>
    <w:rPr>
      <w:rFonts w:ascii="Times New Roman" w:eastAsia="Times New Roman" w:hAnsi="Times New Roman" w:cs="Times New Roman"/>
      <w:smallCaps/>
      <w:sz w:val="32"/>
      <w:szCs w:val="32"/>
    </w:rPr>
  </w:style>
  <w:style w:type="paragraph" w:customStyle="1" w:styleId="Heading21">
    <w:name w:val="Heading #2"/>
    <w:basedOn w:val="Normal"/>
    <w:link w:val="Heading20"/>
    <w:pPr>
      <w:jc w:val="right"/>
      <w:outlineLvl w:val="1"/>
    </w:pPr>
    <w:rPr>
      <w:rFonts w:ascii="Arial" w:eastAsia="Arial" w:hAnsi="Arial" w:cs="Arial"/>
      <w:color w:val="C02E3B"/>
      <w:sz w:val="28"/>
      <w:szCs w:val="28"/>
    </w:rPr>
  </w:style>
  <w:style w:type="paragraph" w:customStyle="1" w:styleId="Heading11">
    <w:name w:val="Heading #1"/>
    <w:basedOn w:val="Normal"/>
    <w:link w:val="Heading10"/>
    <w:pPr>
      <w:ind w:left="2950"/>
      <w:outlineLvl w:val="0"/>
    </w:pPr>
    <w:rPr>
      <w:rFonts w:ascii="Times New Roman" w:eastAsia="Times New Roman" w:hAnsi="Times New Roman" w:cs="Times New Roman"/>
      <w:color w:val="C02E3B"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8xVpgS8pPpiylxZ62EMF5fEdzxg==">CgMxLjA4AHIhMV9wSDNyeG5UT0tyRkxyQWEzRTdMeDdoSXlzX1g4LU5j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10</cp:revision>
  <dcterms:created xsi:type="dcterms:W3CDTF">2024-06-28T03:29:00Z</dcterms:created>
  <dcterms:modified xsi:type="dcterms:W3CDTF">2024-07-01T09:40:00Z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7035defec650eb8d75e66e6e9af5decfd457b5aad45422f693f1cc41647a1839</vt:lpwstr>
  </property>
</Properties>
</file>