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1800" w14:textId="6619468B" w:rsidR="00183D00" w:rsidRPr="00161C16" w:rsidRDefault="0067765D" w:rsidP="00AE41AC">
      <w:pPr>
        <w:pBdr>
          <w:top w:val="nil"/>
          <w:left w:val="nil"/>
          <w:bottom w:val="nil"/>
          <w:right w:val="nil"/>
          <w:between w:val="nil"/>
        </w:pBdr>
        <w:spacing w:after="120" w:line="360" w:lineRule="auto"/>
        <w:jc w:val="both"/>
        <w:rPr>
          <w:rFonts w:ascii="Arial" w:eastAsia="Arial" w:hAnsi="Arial" w:cs="Arial"/>
          <w:b/>
          <w:color w:val="010000"/>
          <w:sz w:val="20"/>
          <w:szCs w:val="20"/>
        </w:rPr>
      </w:pPr>
      <w:r w:rsidRPr="00161C16">
        <w:rPr>
          <w:rFonts w:ascii="Arial" w:hAnsi="Arial" w:cs="Arial"/>
          <w:b/>
          <w:bCs/>
          <w:color w:val="010000"/>
          <w:sz w:val="20"/>
        </w:rPr>
        <w:t>VHM121025:</w:t>
      </w:r>
      <w:r w:rsidRPr="00161C16">
        <w:rPr>
          <w:rFonts w:ascii="Arial" w:hAnsi="Arial" w:cs="Arial"/>
          <w:b/>
          <w:color w:val="010000"/>
          <w:sz w:val="20"/>
        </w:rPr>
        <w:t xml:space="preserve"> </w:t>
      </w:r>
      <w:r w:rsidR="0038553C">
        <w:rPr>
          <w:rFonts w:ascii="Arial" w:hAnsi="Arial" w:cs="Arial"/>
          <w:b/>
          <w:color w:val="010000"/>
          <w:sz w:val="20"/>
        </w:rPr>
        <w:t xml:space="preserve">Official Dispatch on </w:t>
      </w:r>
      <w:r w:rsidRPr="00161C16">
        <w:rPr>
          <w:rFonts w:ascii="Arial" w:hAnsi="Arial" w:cs="Arial"/>
          <w:b/>
          <w:color w:val="010000"/>
          <w:sz w:val="20"/>
        </w:rPr>
        <w:t>Board Resolution</w:t>
      </w:r>
    </w:p>
    <w:p w14:paraId="6661BFC5" w14:textId="77777777" w:rsidR="00183D00" w:rsidRPr="00161C16" w:rsidRDefault="0067765D" w:rsidP="00AE41AC">
      <w:pPr>
        <w:pBdr>
          <w:top w:val="nil"/>
          <w:left w:val="nil"/>
          <w:bottom w:val="nil"/>
          <w:right w:val="nil"/>
          <w:between w:val="nil"/>
        </w:pBdr>
        <w:spacing w:after="120" w:line="360" w:lineRule="auto"/>
        <w:jc w:val="both"/>
        <w:rPr>
          <w:rFonts w:ascii="Arial" w:eastAsia="Arial" w:hAnsi="Arial" w:cs="Arial"/>
          <w:color w:val="010000"/>
          <w:sz w:val="20"/>
          <w:szCs w:val="20"/>
        </w:rPr>
      </w:pPr>
      <w:r w:rsidRPr="00161C16">
        <w:rPr>
          <w:rFonts w:ascii="Arial" w:hAnsi="Arial" w:cs="Arial"/>
          <w:color w:val="010000"/>
          <w:sz w:val="20"/>
        </w:rPr>
        <w:t xml:space="preserve">On June 25, 2024, Vinhomes Joint Stock Company announced Official </w:t>
      </w:r>
      <w:r w:rsidR="007E5C23" w:rsidRPr="00161C16">
        <w:rPr>
          <w:rFonts w:ascii="Arial" w:hAnsi="Arial" w:cs="Arial"/>
          <w:color w:val="010000"/>
          <w:sz w:val="20"/>
        </w:rPr>
        <w:t>Dispatch</w:t>
      </w:r>
      <w:r w:rsidRPr="00161C16">
        <w:rPr>
          <w:rFonts w:ascii="Arial" w:hAnsi="Arial" w:cs="Arial"/>
          <w:color w:val="010000"/>
          <w:sz w:val="20"/>
        </w:rPr>
        <w:t xml:space="preserve"> </w:t>
      </w:r>
      <w:r w:rsidR="00AD0B90" w:rsidRPr="00161C16">
        <w:rPr>
          <w:rFonts w:ascii="Arial" w:hAnsi="Arial" w:cs="Arial"/>
          <w:color w:val="010000"/>
          <w:sz w:val="20"/>
        </w:rPr>
        <w:t xml:space="preserve">No. </w:t>
      </w:r>
      <w:r w:rsidRPr="00161C16">
        <w:rPr>
          <w:rFonts w:ascii="Arial" w:hAnsi="Arial" w:cs="Arial"/>
          <w:color w:val="010000"/>
          <w:sz w:val="20"/>
        </w:rPr>
        <w:t>206/2024/CV-VHM as follows:</w:t>
      </w:r>
    </w:p>
    <w:p w14:paraId="4F06C780" w14:textId="30B269F9" w:rsidR="00183D00" w:rsidRPr="00161C16" w:rsidRDefault="0067765D" w:rsidP="00AE41AC">
      <w:pPr>
        <w:spacing w:after="120" w:line="360" w:lineRule="auto"/>
        <w:jc w:val="both"/>
        <w:rPr>
          <w:rFonts w:ascii="Arial" w:eastAsia="Arial" w:hAnsi="Arial" w:cs="Arial"/>
          <w:color w:val="010000"/>
          <w:sz w:val="20"/>
          <w:szCs w:val="20"/>
        </w:rPr>
      </w:pPr>
      <w:r w:rsidRPr="00161C16">
        <w:rPr>
          <w:rFonts w:ascii="Arial" w:hAnsi="Arial" w:cs="Arial"/>
          <w:color w:val="010000"/>
          <w:sz w:val="20"/>
        </w:rPr>
        <w:t xml:space="preserve">On June 24, 2024, the Chair of the Board of Directors of the Company on behalf of the Board of Directors announced the Resolution on the </w:t>
      </w:r>
      <w:r w:rsidR="00AE41AC">
        <w:rPr>
          <w:rFonts w:ascii="Arial" w:hAnsi="Arial" w:cs="Arial"/>
          <w:color w:val="010000"/>
          <w:sz w:val="20"/>
        </w:rPr>
        <w:t>issue</w:t>
      </w:r>
      <w:r w:rsidRPr="00161C16">
        <w:rPr>
          <w:rFonts w:ascii="Arial" w:hAnsi="Arial" w:cs="Arial"/>
          <w:color w:val="010000"/>
          <w:sz w:val="20"/>
        </w:rPr>
        <w:t xml:space="preserve"> of bonds, specifically:</w:t>
      </w:r>
    </w:p>
    <w:p w14:paraId="522058A8" w14:textId="3624A1F2" w:rsidR="00183D00" w:rsidRPr="00161C16" w:rsidRDefault="0067765D" w:rsidP="00AE41AC">
      <w:pPr>
        <w:spacing w:after="120" w:line="360" w:lineRule="auto"/>
        <w:jc w:val="both"/>
        <w:rPr>
          <w:rFonts w:ascii="Arial" w:eastAsia="Arial" w:hAnsi="Arial" w:cs="Arial"/>
          <w:color w:val="010000"/>
          <w:sz w:val="20"/>
          <w:szCs w:val="20"/>
        </w:rPr>
      </w:pPr>
      <w:r w:rsidRPr="00161C16">
        <w:rPr>
          <w:rFonts w:ascii="Arial" w:hAnsi="Arial" w:cs="Arial"/>
          <w:color w:val="010000"/>
          <w:sz w:val="20"/>
        </w:rPr>
        <w:t xml:space="preserve">Resolution </w:t>
      </w:r>
      <w:r w:rsidR="00AD0B90" w:rsidRPr="00161C16">
        <w:rPr>
          <w:rFonts w:ascii="Arial" w:hAnsi="Arial" w:cs="Arial"/>
          <w:color w:val="010000"/>
          <w:sz w:val="20"/>
        </w:rPr>
        <w:t xml:space="preserve">No. </w:t>
      </w:r>
      <w:r w:rsidRPr="00161C16">
        <w:rPr>
          <w:rFonts w:ascii="Arial" w:hAnsi="Arial" w:cs="Arial"/>
          <w:color w:val="010000"/>
          <w:sz w:val="20"/>
        </w:rPr>
        <w:t xml:space="preserve">08/2024/NQ-HDQT-VHM on approving work related to the offering and the </w:t>
      </w:r>
      <w:r w:rsidR="00AE41AC">
        <w:rPr>
          <w:rFonts w:ascii="Arial" w:hAnsi="Arial" w:cs="Arial"/>
          <w:color w:val="010000"/>
          <w:sz w:val="20"/>
        </w:rPr>
        <w:t>issue</w:t>
      </w:r>
      <w:r w:rsidRPr="00161C16">
        <w:rPr>
          <w:rFonts w:ascii="Arial" w:hAnsi="Arial" w:cs="Arial"/>
          <w:color w:val="010000"/>
          <w:sz w:val="20"/>
        </w:rPr>
        <w:t xml:space="preserve"> of corporate bonds (“Resolution </w:t>
      </w:r>
      <w:r w:rsidR="00AD0B90" w:rsidRPr="00161C16">
        <w:rPr>
          <w:rFonts w:ascii="Arial" w:hAnsi="Arial" w:cs="Arial"/>
          <w:color w:val="010000"/>
          <w:sz w:val="20"/>
        </w:rPr>
        <w:t xml:space="preserve">No. </w:t>
      </w:r>
      <w:r w:rsidRPr="00161C16">
        <w:rPr>
          <w:rFonts w:ascii="Arial" w:hAnsi="Arial" w:cs="Arial"/>
          <w:color w:val="010000"/>
          <w:sz w:val="20"/>
        </w:rPr>
        <w:t xml:space="preserve">08”). Accordingly, the Board of Directors of the Company approved the private placement of corporate bonds of the Company, non-convertible, without warrants, secured by assets, with fixed interest rates, with a maximum total </w:t>
      </w:r>
      <w:r w:rsidR="0038553C">
        <w:rPr>
          <w:rFonts w:ascii="Arial" w:hAnsi="Arial" w:cs="Arial"/>
          <w:color w:val="010000"/>
          <w:sz w:val="20"/>
        </w:rPr>
        <w:t>par</w:t>
      </w:r>
      <w:r w:rsidRPr="00161C16">
        <w:rPr>
          <w:rFonts w:ascii="Arial" w:hAnsi="Arial" w:cs="Arial"/>
          <w:color w:val="010000"/>
          <w:sz w:val="20"/>
        </w:rPr>
        <w:t xml:space="preserve"> value of VND2,500,000,000,000 with the following main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3"/>
        <w:gridCol w:w="328"/>
        <w:gridCol w:w="6345"/>
      </w:tblGrid>
      <w:tr w:rsidR="00183D00" w:rsidRPr="00161C16" w14:paraId="433C14ED" w14:textId="77777777" w:rsidTr="00AD0B90">
        <w:tc>
          <w:tcPr>
            <w:tcW w:w="1299" w:type="pct"/>
            <w:shd w:val="clear" w:color="auto" w:fill="auto"/>
            <w:vAlign w:val="center"/>
          </w:tcPr>
          <w:p w14:paraId="3DF61918" w14:textId="77777777"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Name of Issuer</w:t>
            </w:r>
          </w:p>
        </w:tc>
        <w:tc>
          <w:tcPr>
            <w:tcW w:w="182" w:type="pct"/>
            <w:shd w:val="clear" w:color="auto" w:fill="auto"/>
            <w:vAlign w:val="center"/>
          </w:tcPr>
          <w:p w14:paraId="252D956C" w14:textId="77777777" w:rsidR="00183D00" w:rsidRPr="00161C16" w:rsidRDefault="00183D00" w:rsidP="00AD0B90">
            <w:pPr>
              <w:spacing w:after="120" w:line="360" w:lineRule="auto"/>
              <w:rPr>
                <w:rFonts w:ascii="Arial" w:eastAsia="Arial" w:hAnsi="Arial" w:cs="Arial"/>
                <w:color w:val="010000"/>
                <w:sz w:val="20"/>
                <w:szCs w:val="20"/>
              </w:rPr>
            </w:pPr>
          </w:p>
        </w:tc>
        <w:tc>
          <w:tcPr>
            <w:tcW w:w="3519" w:type="pct"/>
            <w:shd w:val="clear" w:color="auto" w:fill="auto"/>
            <w:vAlign w:val="center"/>
          </w:tcPr>
          <w:p w14:paraId="60CA12B2" w14:textId="77777777"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Vinhomes Joint Stock Company</w:t>
            </w:r>
          </w:p>
        </w:tc>
      </w:tr>
      <w:tr w:rsidR="00183D00" w:rsidRPr="00161C16" w14:paraId="1EB351CA" w14:textId="77777777" w:rsidTr="00AD0B90">
        <w:tc>
          <w:tcPr>
            <w:tcW w:w="1299" w:type="pct"/>
            <w:shd w:val="clear" w:color="auto" w:fill="auto"/>
            <w:vAlign w:val="center"/>
          </w:tcPr>
          <w:p w14:paraId="72FB8EE7" w14:textId="77777777"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Bonds type</w:t>
            </w:r>
          </w:p>
        </w:tc>
        <w:tc>
          <w:tcPr>
            <w:tcW w:w="182" w:type="pct"/>
            <w:shd w:val="clear" w:color="auto" w:fill="auto"/>
            <w:vAlign w:val="center"/>
          </w:tcPr>
          <w:p w14:paraId="37A626B5" w14:textId="77777777" w:rsidR="00183D00" w:rsidRPr="00161C16" w:rsidRDefault="00183D00" w:rsidP="00AD0B90">
            <w:pPr>
              <w:spacing w:after="120" w:line="360" w:lineRule="auto"/>
              <w:rPr>
                <w:rFonts w:ascii="Arial" w:eastAsia="Arial" w:hAnsi="Arial" w:cs="Arial"/>
                <w:color w:val="010000"/>
                <w:sz w:val="20"/>
                <w:szCs w:val="20"/>
              </w:rPr>
            </w:pPr>
          </w:p>
        </w:tc>
        <w:tc>
          <w:tcPr>
            <w:tcW w:w="3519" w:type="pct"/>
            <w:shd w:val="clear" w:color="auto" w:fill="auto"/>
            <w:vAlign w:val="center"/>
          </w:tcPr>
          <w:p w14:paraId="7C27D214" w14:textId="77777777"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Corporate bonds are non-convertible, without warrants, secured by assets</w:t>
            </w:r>
          </w:p>
        </w:tc>
      </w:tr>
      <w:tr w:rsidR="00183D00" w:rsidRPr="00161C16" w14:paraId="64989407" w14:textId="77777777" w:rsidTr="00AD0B90">
        <w:tc>
          <w:tcPr>
            <w:tcW w:w="1299" w:type="pct"/>
            <w:shd w:val="clear" w:color="auto" w:fill="auto"/>
            <w:vAlign w:val="center"/>
          </w:tcPr>
          <w:p w14:paraId="6055640F" w14:textId="77777777"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Par value</w:t>
            </w:r>
          </w:p>
        </w:tc>
        <w:tc>
          <w:tcPr>
            <w:tcW w:w="182" w:type="pct"/>
            <w:shd w:val="clear" w:color="auto" w:fill="auto"/>
            <w:vAlign w:val="center"/>
          </w:tcPr>
          <w:p w14:paraId="46EC7DB3" w14:textId="77777777" w:rsidR="00183D00" w:rsidRPr="00161C16" w:rsidRDefault="00183D00" w:rsidP="00AD0B90">
            <w:pPr>
              <w:spacing w:after="120" w:line="360" w:lineRule="auto"/>
              <w:rPr>
                <w:rFonts w:ascii="Arial" w:eastAsia="Arial" w:hAnsi="Arial" w:cs="Arial"/>
                <w:color w:val="010000"/>
                <w:sz w:val="20"/>
                <w:szCs w:val="20"/>
              </w:rPr>
            </w:pPr>
          </w:p>
        </w:tc>
        <w:tc>
          <w:tcPr>
            <w:tcW w:w="3519" w:type="pct"/>
            <w:shd w:val="clear" w:color="auto" w:fill="auto"/>
            <w:vAlign w:val="center"/>
          </w:tcPr>
          <w:p w14:paraId="799F053B" w14:textId="77777777"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Expected VND100,000,000/bond</w:t>
            </w:r>
          </w:p>
        </w:tc>
      </w:tr>
      <w:tr w:rsidR="00183D00" w:rsidRPr="00161C16" w14:paraId="3BE8364C" w14:textId="77777777" w:rsidTr="00AD0B90">
        <w:tc>
          <w:tcPr>
            <w:tcW w:w="1299" w:type="pct"/>
            <w:shd w:val="clear" w:color="auto" w:fill="auto"/>
            <w:vAlign w:val="center"/>
          </w:tcPr>
          <w:p w14:paraId="4C73CA73" w14:textId="77777777"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Term</w:t>
            </w:r>
          </w:p>
        </w:tc>
        <w:tc>
          <w:tcPr>
            <w:tcW w:w="182" w:type="pct"/>
            <w:shd w:val="clear" w:color="auto" w:fill="auto"/>
            <w:vAlign w:val="center"/>
          </w:tcPr>
          <w:p w14:paraId="112A8BED" w14:textId="77777777" w:rsidR="00183D00" w:rsidRPr="00161C16" w:rsidRDefault="00183D00" w:rsidP="00AD0B90">
            <w:pPr>
              <w:spacing w:after="120" w:line="360" w:lineRule="auto"/>
              <w:rPr>
                <w:rFonts w:ascii="Arial" w:eastAsia="Arial" w:hAnsi="Arial" w:cs="Arial"/>
                <w:color w:val="010000"/>
                <w:sz w:val="20"/>
                <w:szCs w:val="20"/>
              </w:rPr>
            </w:pPr>
          </w:p>
        </w:tc>
        <w:tc>
          <w:tcPr>
            <w:tcW w:w="3519" w:type="pct"/>
            <w:shd w:val="clear" w:color="auto" w:fill="auto"/>
            <w:vAlign w:val="center"/>
          </w:tcPr>
          <w:p w14:paraId="2846B706" w14:textId="704B2E2D"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 xml:space="preserve">Maximum 24 months from the </w:t>
            </w:r>
            <w:r w:rsidR="00AE41AC">
              <w:rPr>
                <w:rFonts w:ascii="Arial" w:hAnsi="Arial" w:cs="Arial"/>
                <w:color w:val="010000"/>
                <w:sz w:val="20"/>
              </w:rPr>
              <w:t>issue</w:t>
            </w:r>
            <w:r w:rsidRPr="00161C16">
              <w:rPr>
                <w:rFonts w:ascii="Arial" w:hAnsi="Arial" w:cs="Arial"/>
                <w:color w:val="010000"/>
                <w:sz w:val="20"/>
              </w:rPr>
              <w:t xml:space="preserve"> date of the offering.</w:t>
            </w:r>
          </w:p>
        </w:tc>
      </w:tr>
      <w:tr w:rsidR="00183D00" w:rsidRPr="00161C16" w14:paraId="32368089" w14:textId="77777777" w:rsidTr="00AD0B90">
        <w:tc>
          <w:tcPr>
            <w:tcW w:w="1299" w:type="pct"/>
            <w:shd w:val="clear" w:color="auto" w:fill="auto"/>
            <w:vAlign w:val="center"/>
          </w:tcPr>
          <w:p w14:paraId="5677E8A2" w14:textId="77777777"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Bond properties</w:t>
            </w:r>
          </w:p>
        </w:tc>
        <w:tc>
          <w:tcPr>
            <w:tcW w:w="182" w:type="pct"/>
            <w:shd w:val="clear" w:color="auto" w:fill="auto"/>
            <w:vAlign w:val="center"/>
          </w:tcPr>
          <w:p w14:paraId="512485B0" w14:textId="77777777" w:rsidR="00183D00" w:rsidRPr="00161C16" w:rsidRDefault="00183D00" w:rsidP="00AD0B90">
            <w:pPr>
              <w:spacing w:after="120" w:line="360" w:lineRule="auto"/>
              <w:rPr>
                <w:rFonts w:ascii="Arial" w:eastAsia="Arial" w:hAnsi="Arial" w:cs="Arial"/>
                <w:color w:val="010000"/>
                <w:sz w:val="20"/>
                <w:szCs w:val="20"/>
              </w:rPr>
            </w:pPr>
          </w:p>
        </w:tc>
        <w:tc>
          <w:tcPr>
            <w:tcW w:w="3519" w:type="pct"/>
            <w:shd w:val="clear" w:color="auto" w:fill="auto"/>
            <w:vAlign w:val="center"/>
          </w:tcPr>
          <w:p w14:paraId="01298DED" w14:textId="77777777"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The Bonds are non-convertible corporate bonds, without warrants, secured by assets, with fixed interest rates and establish the direct repayment obligation of the Issuer. In case the amount collected from the disposal of the secured assets of the bonds is not enough to pay for the obligations related to the bonds, the unpaid portion of the obligations shall be in an order of payment at least equal to the other general unsecured obligations (whether present or future obligations) of the Issuer (except for cases of mandatory payment priority according to relevant legal documents). The bonds have equal rights and interests and no Bond has any priority over any other Bond for any reason.</w:t>
            </w:r>
          </w:p>
        </w:tc>
      </w:tr>
      <w:tr w:rsidR="00183D00" w:rsidRPr="00161C16" w14:paraId="4CFE7B75" w14:textId="77777777" w:rsidTr="00AD0B90">
        <w:tc>
          <w:tcPr>
            <w:tcW w:w="1299" w:type="pct"/>
            <w:shd w:val="clear" w:color="auto" w:fill="auto"/>
            <w:vAlign w:val="center"/>
          </w:tcPr>
          <w:p w14:paraId="6FEDCD87" w14:textId="77777777"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Bond form</w:t>
            </w:r>
          </w:p>
        </w:tc>
        <w:tc>
          <w:tcPr>
            <w:tcW w:w="182" w:type="pct"/>
            <w:shd w:val="clear" w:color="auto" w:fill="auto"/>
            <w:vAlign w:val="center"/>
          </w:tcPr>
          <w:p w14:paraId="10F29D82" w14:textId="77777777" w:rsidR="00183D00" w:rsidRPr="00161C16" w:rsidRDefault="00183D00" w:rsidP="00AD0B90">
            <w:pPr>
              <w:spacing w:after="120" w:line="360" w:lineRule="auto"/>
              <w:rPr>
                <w:rFonts w:ascii="Arial" w:eastAsia="Arial" w:hAnsi="Arial" w:cs="Arial"/>
                <w:color w:val="010000"/>
                <w:sz w:val="20"/>
                <w:szCs w:val="20"/>
              </w:rPr>
            </w:pPr>
          </w:p>
        </w:tc>
        <w:tc>
          <w:tcPr>
            <w:tcW w:w="3519" w:type="pct"/>
            <w:shd w:val="clear" w:color="auto" w:fill="auto"/>
            <w:vAlign w:val="center"/>
          </w:tcPr>
          <w:p w14:paraId="46913DD9" w14:textId="77777777"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Book entries and/or electronic data, with an excerpt of the list recording information of Bond owners upon request</w:t>
            </w:r>
          </w:p>
        </w:tc>
      </w:tr>
      <w:tr w:rsidR="00183D00" w:rsidRPr="00161C16" w14:paraId="17CE24FA" w14:textId="77777777" w:rsidTr="00AD0B90">
        <w:tc>
          <w:tcPr>
            <w:tcW w:w="1299" w:type="pct"/>
            <w:shd w:val="clear" w:color="auto" w:fill="auto"/>
            <w:vAlign w:val="center"/>
          </w:tcPr>
          <w:p w14:paraId="59D3183C" w14:textId="591569DE" w:rsidR="00183D00" w:rsidRPr="00161C16" w:rsidRDefault="00AE41AC" w:rsidP="00AD0B90">
            <w:pPr>
              <w:spacing w:after="120" w:line="360" w:lineRule="auto"/>
              <w:rPr>
                <w:rFonts w:ascii="Arial" w:eastAsia="Arial" w:hAnsi="Arial" w:cs="Arial"/>
                <w:color w:val="010000"/>
                <w:sz w:val="20"/>
                <w:szCs w:val="20"/>
              </w:rPr>
            </w:pPr>
            <w:r>
              <w:rPr>
                <w:rFonts w:ascii="Arial" w:hAnsi="Arial" w:cs="Arial"/>
                <w:color w:val="010000"/>
                <w:sz w:val="20"/>
              </w:rPr>
              <w:t>Issue</w:t>
            </w:r>
            <w:r w:rsidR="0067765D" w:rsidRPr="00161C16">
              <w:rPr>
                <w:rFonts w:ascii="Arial" w:hAnsi="Arial" w:cs="Arial"/>
                <w:color w:val="010000"/>
                <w:sz w:val="20"/>
              </w:rPr>
              <w:t xml:space="preserve"> method</w:t>
            </w:r>
          </w:p>
        </w:tc>
        <w:tc>
          <w:tcPr>
            <w:tcW w:w="182" w:type="pct"/>
            <w:shd w:val="clear" w:color="auto" w:fill="auto"/>
            <w:vAlign w:val="center"/>
          </w:tcPr>
          <w:p w14:paraId="1255A2BF" w14:textId="77777777" w:rsidR="00183D00" w:rsidRPr="00161C16" w:rsidRDefault="00183D00" w:rsidP="00AD0B90">
            <w:pPr>
              <w:spacing w:after="120" w:line="360" w:lineRule="auto"/>
              <w:rPr>
                <w:rFonts w:ascii="Arial" w:eastAsia="Arial" w:hAnsi="Arial" w:cs="Arial"/>
                <w:color w:val="010000"/>
                <w:sz w:val="20"/>
                <w:szCs w:val="20"/>
              </w:rPr>
            </w:pPr>
          </w:p>
        </w:tc>
        <w:tc>
          <w:tcPr>
            <w:tcW w:w="3519" w:type="pct"/>
            <w:shd w:val="clear" w:color="auto" w:fill="auto"/>
            <w:vAlign w:val="center"/>
          </w:tcPr>
          <w:p w14:paraId="7A5130E8" w14:textId="6DED5E72" w:rsidR="00183D00" w:rsidRPr="00161C16" w:rsidRDefault="0067765D" w:rsidP="00AD0B90">
            <w:pPr>
              <w:spacing w:after="120" w:line="360" w:lineRule="auto"/>
              <w:rPr>
                <w:rFonts w:ascii="Arial" w:eastAsia="Arial" w:hAnsi="Arial" w:cs="Arial"/>
                <w:color w:val="010000"/>
                <w:sz w:val="20"/>
                <w:szCs w:val="20"/>
              </w:rPr>
            </w:pPr>
            <w:r w:rsidRPr="00161C16">
              <w:rPr>
                <w:rFonts w:ascii="Arial" w:hAnsi="Arial" w:cs="Arial"/>
                <w:color w:val="010000"/>
                <w:sz w:val="20"/>
              </w:rPr>
              <w:t xml:space="preserve">The </w:t>
            </w:r>
            <w:r w:rsidR="00AE41AC">
              <w:rPr>
                <w:rFonts w:ascii="Arial" w:hAnsi="Arial" w:cs="Arial"/>
                <w:color w:val="010000"/>
                <w:sz w:val="20"/>
              </w:rPr>
              <w:t>issue</w:t>
            </w:r>
            <w:r w:rsidRPr="00161C16">
              <w:rPr>
                <w:rFonts w:ascii="Arial" w:hAnsi="Arial" w:cs="Arial"/>
                <w:color w:val="010000"/>
                <w:sz w:val="20"/>
              </w:rPr>
              <w:t xml:space="preserve"> is conducted with maximum effort</w:t>
            </w:r>
          </w:p>
        </w:tc>
      </w:tr>
    </w:tbl>
    <w:p w14:paraId="5A6D457D" w14:textId="4739F43D" w:rsidR="00183D00" w:rsidRPr="00161C16" w:rsidRDefault="0067765D" w:rsidP="00AE41AC">
      <w:pPr>
        <w:spacing w:after="120" w:line="360" w:lineRule="auto"/>
        <w:jc w:val="both"/>
        <w:rPr>
          <w:rFonts w:ascii="Arial" w:eastAsia="Arial" w:hAnsi="Arial" w:cs="Arial"/>
          <w:color w:val="010000"/>
          <w:sz w:val="20"/>
          <w:szCs w:val="20"/>
        </w:rPr>
      </w:pPr>
      <w:r w:rsidRPr="00161C16">
        <w:rPr>
          <w:rFonts w:ascii="Arial" w:hAnsi="Arial" w:cs="Arial"/>
          <w:color w:val="010000"/>
          <w:sz w:val="20"/>
        </w:rPr>
        <w:t xml:space="preserve">Assign the </w:t>
      </w:r>
      <w:r w:rsidR="00AE41AC">
        <w:rPr>
          <w:rFonts w:ascii="Arial" w:hAnsi="Arial" w:cs="Arial"/>
          <w:color w:val="010000"/>
          <w:sz w:val="20"/>
        </w:rPr>
        <w:t>Managing Director-cum-</w:t>
      </w:r>
      <w:r w:rsidRPr="00161C16">
        <w:rPr>
          <w:rFonts w:ascii="Arial" w:hAnsi="Arial" w:cs="Arial"/>
          <w:color w:val="010000"/>
          <w:sz w:val="20"/>
        </w:rPr>
        <w:t xml:space="preserve">legal representative, </w:t>
      </w:r>
      <w:r w:rsidR="00AE41AC">
        <w:rPr>
          <w:rFonts w:ascii="Arial" w:hAnsi="Arial" w:cs="Arial"/>
          <w:color w:val="010000"/>
          <w:sz w:val="20"/>
        </w:rPr>
        <w:t>under specific circumstances</w:t>
      </w:r>
      <w:bookmarkStart w:id="0" w:name="_GoBack"/>
      <w:bookmarkEnd w:id="0"/>
      <w:r w:rsidRPr="00161C16">
        <w:rPr>
          <w:rFonts w:ascii="Arial" w:hAnsi="Arial" w:cs="Arial"/>
          <w:color w:val="010000"/>
          <w:sz w:val="20"/>
        </w:rPr>
        <w:t xml:space="preserve">, to be responsible for organizing and implementing tasks related to the </w:t>
      </w:r>
      <w:r w:rsidR="00AE41AC">
        <w:rPr>
          <w:rFonts w:ascii="Arial" w:hAnsi="Arial" w:cs="Arial"/>
          <w:color w:val="010000"/>
          <w:sz w:val="20"/>
        </w:rPr>
        <w:t>issue</w:t>
      </w:r>
      <w:r w:rsidRPr="00161C16">
        <w:rPr>
          <w:rFonts w:ascii="Arial" w:hAnsi="Arial" w:cs="Arial"/>
          <w:color w:val="010000"/>
          <w:sz w:val="20"/>
        </w:rPr>
        <w:t xml:space="preserve"> of bonds </w:t>
      </w:r>
      <w:r w:rsidR="00AE41AC">
        <w:rPr>
          <w:rFonts w:ascii="Arial" w:hAnsi="Arial" w:cs="Arial"/>
          <w:color w:val="010000"/>
          <w:sz w:val="20"/>
        </w:rPr>
        <w:t>under applicable laws.</w:t>
      </w:r>
    </w:p>
    <w:sectPr w:rsidR="00183D00" w:rsidRPr="00161C16" w:rsidSect="00AD0B90">
      <w:pgSz w:w="11906" w:h="16838"/>
      <w:pgMar w:top="1440" w:right="1440" w:bottom="1440" w:left="1440" w:header="0" w:footer="3"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0"/>
    <w:rsid w:val="00161C16"/>
    <w:rsid w:val="00183D00"/>
    <w:rsid w:val="0038553C"/>
    <w:rsid w:val="004C2954"/>
    <w:rsid w:val="0067765D"/>
    <w:rsid w:val="007E5C23"/>
    <w:rsid w:val="00AD0B90"/>
    <w:rsid w:val="00AE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CE68E"/>
  <w15:docId w15:val="{B6F35AAD-EB98-4409-A7AF-896C64EC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6D6B4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3DwUW5xDz1Ab0RfEBGJ5Wzp33A==">CgMxLjA4AHIhMW44YzNzUjd1TkIxeExETURSWHNGTnlTR2lzblJ3TGs0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Nguyen Duc Quan</cp:lastModifiedBy>
  <cp:revision>2</cp:revision>
  <dcterms:created xsi:type="dcterms:W3CDTF">2024-07-01T04:38:00Z</dcterms:created>
  <dcterms:modified xsi:type="dcterms:W3CDTF">2024-07-01T04:38:00Z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93d64849-428a-4429-a179-62b792bd7660</vt:lpwstr>
  </property>
</Properties>
</file>