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F61D2" w14:textId="77E63D2D" w:rsidR="00043302" w:rsidRPr="009713F4" w:rsidRDefault="00607337" w:rsidP="002C76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9713F4">
        <w:rPr>
          <w:rFonts w:ascii="Arial" w:hAnsi="Arial" w:cs="Arial"/>
          <w:b/>
          <w:bCs/>
          <w:color w:val="010000"/>
          <w:sz w:val="20"/>
        </w:rPr>
        <w:t>BCG122006:</w:t>
      </w:r>
      <w:r w:rsidRPr="009713F4">
        <w:rPr>
          <w:rFonts w:ascii="Arial" w:hAnsi="Arial" w:cs="Arial"/>
          <w:b/>
          <w:color w:val="010000"/>
          <w:sz w:val="20"/>
        </w:rPr>
        <w:t xml:space="preserve"> </w:t>
      </w:r>
      <w:r w:rsidR="001E1885" w:rsidRPr="009713F4">
        <w:rPr>
          <w:rFonts w:ascii="Arial" w:hAnsi="Arial" w:cs="Arial"/>
          <w:b/>
          <w:color w:val="010000"/>
          <w:sz w:val="20"/>
        </w:rPr>
        <w:t xml:space="preserve">Periodic </w:t>
      </w:r>
      <w:r w:rsidRPr="009713F4">
        <w:rPr>
          <w:rFonts w:ascii="Arial" w:hAnsi="Arial" w:cs="Arial"/>
          <w:b/>
          <w:color w:val="010000"/>
          <w:sz w:val="20"/>
        </w:rPr>
        <w:t xml:space="preserve">Report on the payment of principal and interest of bonds </w:t>
      </w:r>
    </w:p>
    <w:p w14:paraId="7BB86DDB" w14:textId="1C5D4935" w:rsidR="00043302" w:rsidRPr="009713F4" w:rsidRDefault="00607337" w:rsidP="002C76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13F4">
        <w:rPr>
          <w:rFonts w:ascii="Arial" w:hAnsi="Arial" w:cs="Arial"/>
          <w:color w:val="010000"/>
          <w:sz w:val="20"/>
        </w:rPr>
        <w:t xml:space="preserve">On July </w:t>
      </w:r>
      <w:r w:rsidR="009713F4" w:rsidRPr="009713F4">
        <w:rPr>
          <w:rFonts w:ascii="Arial" w:hAnsi="Arial" w:cs="Arial"/>
          <w:color w:val="010000"/>
          <w:sz w:val="20"/>
        </w:rPr>
        <w:t>0</w:t>
      </w:r>
      <w:r w:rsidRPr="009713F4">
        <w:rPr>
          <w:rFonts w:ascii="Arial" w:hAnsi="Arial" w:cs="Arial"/>
          <w:color w:val="010000"/>
          <w:sz w:val="20"/>
        </w:rPr>
        <w:t xml:space="preserve">5, 2024, Bamboo Capital Joint Stock Company announced Report </w:t>
      </w:r>
      <w:r w:rsidR="008677F9" w:rsidRPr="009713F4">
        <w:rPr>
          <w:rFonts w:ascii="Arial" w:hAnsi="Arial" w:cs="Arial"/>
          <w:color w:val="010000"/>
          <w:sz w:val="20"/>
        </w:rPr>
        <w:t xml:space="preserve">No. </w:t>
      </w:r>
      <w:r w:rsidRPr="009713F4">
        <w:rPr>
          <w:rFonts w:ascii="Arial" w:hAnsi="Arial" w:cs="Arial"/>
          <w:color w:val="010000"/>
          <w:sz w:val="20"/>
        </w:rPr>
        <w:t>75/2024/CV-BCG on disclosing information on the payment of principal and interest of bonds as follows:</w:t>
      </w:r>
    </w:p>
    <w:p w14:paraId="6D5B7014" w14:textId="77777777" w:rsidR="00043302" w:rsidRPr="009713F4" w:rsidRDefault="00607337" w:rsidP="002C76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13F4">
        <w:rPr>
          <w:rFonts w:ascii="Arial" w:hAnsi="Arial" w:cs="Arial"/>
          <w:color w:val="010000"/>
          <w:sz w:val="20"/>
        </w:rPr>
        <w:t xml:space="preserve"> Report on the payment of bond principal and interest</w:t>
      </w:r>
    </w:p>
    <w:p w14:paraId="67E7A37A" w14:textId="77777777" w:rsidR="00043302" w:rsidRPr="009713F4" w:rsidRDefault="00607337" w:rsidP="002C76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13F4">
        <w:rPr>
          <w:rFonts w:ascii="Arial" w:hAnsi="Arial" w:cs="Arial"/>
          <w:color w:val="010000"/>
          <w:sz w:val="20"/>
        </w:rPr>
        <w:t>(Reporting period from January 1, 2024 to June 30, 2024):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5"/>
        <w:gridCol w:w="762"/>
        <w:gridCol w:w="1579"/>
        <w:gridCol w:w="1579"/>
        <w:gridCol w:w="2355"/>
        <w:gridCol w:w="949"/>
        <w:gridCol w:w="1007"/>
        <w:gridCol w:w="1579"/>
        <w:gridCol w:w="2355"/>
        <w:gridCol w:w="1339"/>
      </w:tblGrid>
      <w:tr w:rsidR="00043302" w:rsidRPr="009713F4" w14:paraId="4ACBD60E" w14:textId="77777777" w:rsidTr="009713F4">
        <w:tc>
          <w:tcPr>
            <w:tcW w:w="16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77508" w14:textId="3813F95A" w:rsidR="00043302" w:rsidRPr="009713F4" w:rsidRDefault="008677F9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19B75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5B263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Issuance date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98CD4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118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C8D70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92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AD53C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Payment during the period</w:t>
            </w:r>
          </w:p>
        </w:tc>
        <w:tc>
          <w:tcPr>
            <w:tcW w:w="132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32694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043302" w:rsidRPr="009713F4" w14:paraId="25C9FC17" w14:textId="77777777" w:rsidTr="009713F4">
        <w:tc>
          <w:tcPr>
            <w:tcW w:w="1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FAC35" w14:textId="77777777" w:rsidR="00043302" w:rsidRPr="009713F4" w:rsidRDefault="00043302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E2DEC" w14:textId="77777777" w:rsidR="00043302" w:rsidRPr="009713F4" w:rsidRDefault="00043302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460D7" w14:textId="77777777" w:rsidR="00043302" w:rsidRPr="009713F4" w:rsidRDefault="00043302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41B74" w14:textId="77777777" w:rsidR="00043302" w:rsidRPr="009713F4" w:rsidRDefault="00043302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E1B05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3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F352D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7FF8D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 xml:space="preserve">Principal 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395F9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D2B73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 xml:space="preserve">Principal 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8CB3F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 xml:space="preserve">Interest </w:t>
            </w:r>
          </w:p>
        </w:tc>
      </w:tr>
      <w:tr w:rsidR="00043302" w:rsidRPr="009713F4" w14:paraId="2D9A197E" w14:textId="77777777" w:rsidTr="009713F4"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8CDC7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B39D0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5 years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5B754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January 20, 2022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6F865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January 20, 2027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3FD3B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500,000,000,000</w:t>
            </w:r>
          </w:p>
        </w:tc>
        <w:tc>
          <w:tcPr>
            <w:tcW w:w="3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67F4C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E6FA9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E7332" w14:textId="63C5246D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31,002,740</w:t>
            </w:r>
            <w:r w:rsidR="009F4198" w:rsidRPr="009713F4">
              <w:rPr>
                <w:rFonts w:ascii="Arial" w:hAnsi="Arial" w:cs="Arial"/>
                <w:color w:val="010000"/>
                <w:sz w:val="20"/>
              </w:rPr>
              <w:t>,000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625F9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500,000,000,000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B8F03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</w:tbl>
    <w:p w14:paraId="0BD0C17C" w14:textId="44ABAFDE" w:rsidR="00043302" w:rsidRPr="009713F4" w:rsidRDefault="00607337" w:rsidP="002C76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13F4">
        <w:rPr>
          <w:rFonts w:ascii="Arial" w:hAnsi="Arial" w:cs="Arial"/>
          <w:color w:val="010000"/>
          <w:sz w:val="20"/>
        </w:rPr>
        <w:t>Repor</w:t>
      </w:r>
      <w:r w:rsidR="009713F4" w:rsidRPr="009713F4">
        <w:rPr>
          <w:rFonts w:ascii="Arial" w:hAnsi="Arial" w:cs="Arial"/>
          <w:color w:val="010000"/>
          <w:sz w:val="20"/>
        </w:rPr>
        <w:t>t on the bond ownership by investor</w:t>
      </w:r>
    </w:p>
    <w:p w14:paraId="629B59D5" w14:textId="77777777" w:rsidR="00043302" w:rsidRPr="009713F4" w:rsidRDefault="00607337" w:rsidP="002C76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13F4">
        <w:rPr>
          <w:rFonts w:ascii="Arial" w:hAnsi="Arial" w:cs="Arial"/>
          <w:color w:val="010000"/>
          <w:sz w:val="20"/>
        </w:rPr>
        <w:t>(Reporting period from January 1, 2024 to June 30, 2024):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21"/>
        <w:gridCol w:w="2158"/>
        <w:gridCol w:w="1719"/>
        <w:gridCol w:w="2137"/>
        <w:gridCol w:w="1730"/>
        <w:gridCol w:w="1866"/>
        <w:gridCol w:w="1618"/>
      </w:tblGrid>
      <w:tr w:rsidR="00043302" w:rsidRPr="009713F4" w14:paraId="1CD0FE8C" w14:textId="77777777" w:rsidTr="008677F9">
        <w:tc>
          <w:tcPr>
            <w:tcW w:w="97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22B86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38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CAA25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38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807AA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Change in the period</w:t>
            </w:r>
          </w:p>
        </w:tc>
        <w:tc>
          <w:tcPr>
            <w:tcW w:w="12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ABD68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043302" w:rsidRPr="009713F4" w14:paraId="2C5006C7" w14:textId="77777777" w:rsidTr="008677F9">
        <w:tc>
          <w:tcPr>
            <w:tcW w:w="97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20A71" w14:textId="77777777" w:rsidR="00043302" w:rsidRPr="009713F4" w:rsidRDefault="00043302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752C3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Value (VND)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EE826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C9D19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Value (VND)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390C3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56A06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Value (VND)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13235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043302" w:rsidRPr="009713F4" w14:paraId="212BADBB" w14:textId="77777777" w:rsidTr="008677F9"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0CCF3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332C9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497,400,000,000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01ED0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99.48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AEA95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60184" w14:textId="1D1353B3" w:rsidR="00043302" w:rsidRPr="009713F4" w:rsidRDefault="009F4198" w:rsidP="002C7607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4DEF3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497,400,000,000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9DA62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99.48</w:t>
            </w:r>
          </w:p>
        </w:tc>
      </w:tr>
      <w:tr w:rsidR="00043302" w:rsidRPr="009713F4" w14:paraId="1F93B97E" w14:textId="77777777" w:rsidTr="008677F9"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4A764" w14:textId="1138C4FB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 xml:space="preserve">1 </w:t>
            </w:r>
            <w:r w:rsidR="00456E43" w:rsidRPr="009713F4">
              <w:rPr>
                <w:rFonts w:ascii="Arial" w:hAnsi="Arial" w:cs="Arial"/>
                <w:color w:val="010000"/>
                <w:sz w:val="20"/>
              </w:rPr>
              <w:t>Organized</w:t>
            </w:r>
            <w:r w:rsidRPr="009713F4">
              <w:rPr>
                <w:rFonts w:ascii="Arial" w:hAnsi="Arial" w:cs="Arial"/>
                <w:color w:val="010000"/>
                <w:sz w:val="20"/>
              </w:rPr>
              <w:t xml:space="preserve"> investors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6739A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476,084,700,000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DD7B4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95.22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8D86D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-49,612,700,000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3A4BE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-9.92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3CA03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426,472,000,000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9CFC0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85.29</w:t>
            </w:r>
          </w:p>
        </w:tc>
      </w:tr>
      <w:tr w:rsidR="00043302" w:rsidRPr="009713F4" w14:paraId="35F7B5F0" w14:textId="77777777" w:rsidTr="008677F9"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FC7DB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2CF10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E5CA0" w14:textId="097EB54D" w:rsidR="00043302" w:rsidRPr="009713F4" w:rsidRDefault="009F4198" w:rsidP="002C7607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433DC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67D40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FE3AF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E6579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43302" w:rsidRPr="009713F4" w14:paraId="0ACAF75F" w14:textId="77777777" w:rsidTr="008677F9"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B9000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04BB6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53465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7F823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70A7D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A4AF5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A61E8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43302" w:rsidRPr="009713F4" w14:paraId="301624B4" w14:textId="77777777" w:rsidTr="008677F9"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0B52E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36BFF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379,284,700,000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2D7A5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75.86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7D61F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-252,812,700,000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E1C6F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-50.56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59881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126,472,000,000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85FF5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25.29</w:t>
            </w:r>
          </w:p>
        </w:tc>
      </w:tr>
      <w:tr w:rsidR="00043302" w:rsidRPr="009713F4" w14:paraId="446977C8" w14:textId="77777777" w:rsidTr="008677F9"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ADA0A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lastRenderedPageBreak/>
              <w:t>d) Insurance companies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BAADE" w14:textId="0986B384" w:rsidR="00043302" w:rsidRPr="009713F4" w:rsidRDefault="009713F4" w:rsidP="002C7607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6DC70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3B411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FC1ED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F5B17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671D3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20.00</w:t>
            </w:r>
          </w:p>
        </w:tc>
      </w:tr>
      <w:tr w:rsidR="00043302" w:rsidRPr="009713F4" w14:paraId="2BB62D8E" w14:textId="77777777" w:rsidTr="008677F9"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4FC1D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d) Other organizations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8B0D0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96,800,000,000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3F1F5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19.36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60809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103,200,000,000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F3EC7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20.64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8155C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200,000,000,000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845AF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40.00</w:t>
            </w:r>
          </w:p>
        </w:tc>
      </w:tr>
      <w:tr w:rsidR="00043302" w:rsidRPr="009713F4" w14:paraId="1F3F20F2" w14:textId="77777777" w:rsidTr="008677F9"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E7868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DDCC2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21,315,300,000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AFA69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4.26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55267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49,612,700,000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72577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9.92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51D5F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70,928,000,000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4A8DE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14.19</w:t>
            </w:r>
          </w:p>
        </w:tc>
      </w:tr>
      <w:tr w:rsidR="00043302" w:rsidRPr="009713F4" w14:paraId="56D603FF" w14:textId="77777777" w:rsidTr="008677F9"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FA4A7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C721C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2,600,000,000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27509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0.52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0C471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D0BA7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4CF07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2,600,000,000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6EC59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0.52</w:t>
            </w:r>
          </w:p>
        </w:tc>
      </w:tr>
      <w:tr w:rsidR="00043302" w:rsidRPr="009713F4" w14:paraId="0E3B7B1B" w14:textId="77777777" w:rsidTr="008677F9"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43C9A" w14:textId="5EFB9B54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 xml:space="preserve">1. </w:t>
            </w:r>
            <w:r w:rsidR="00456E43" w:rsidRPr="009713F4">
              <w:rPr>
                <w:rFonts w:ascii="Arial" w:hAnsi="Arial" w:cs="Arial"/>
                <w:color w:val="010000"/>
                <w:sz w:val="20"/>
              </w:rPr>
              <w:t>Organized</w:t>
            </w:r>
            <w:r w:rsidRPr="009713F4">
              <w:rPr>
                <w:rFonts w:ascii="Arial" w:hAnsi="Arial" w:cs="Arial"/>
                <w:color w:val="010000"/>
                <w:sz w:val="20"/>
              </w:rPr>
              <w:t xml:space="preserve"> investors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5E085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342D4" w14:textId="6186FC35" w:rsidR="00043302" w:rsidRPr="009713F4" w:rsidRDefault="009F4198" w:rsidP="002C7607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7AA3E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ABD3B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A3675" w14:textId="577442A9" w:rsidR="00043302" w:rsidRPr="009713F4" w:rsidRDefault="002729B4" w:rsidP="002C7607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7FEEC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43302" w:rsidRPr="009713F4" w14:paraId="648A268B" w14:textId="77777777" w:rsidTr="008677F9"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E6658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905E6" w14:textId="5CFDF215" w:rsidR="00043302" w:rsidRPr="009713F4" w:rsidRDefault="009F4198" w:rsidP="002C7607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430C9" w14:textId="153D08CA" w:rsidR="00043302" w:rsidRPr="009713F4" w:rsidRDefault="009F4198" w:rsidP="002C7607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03589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28A2F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BF680" w14:textId="222E1F85" w:rsidR="00043302" w:rsidRPr="009713F4" w:rsidRDefault="002729B4" w:rsidP="002C7607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C8D01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43302" w:rsidRPr="009713F4" w14:paraId="481D01A3" w14:textId="77777777" w:rsidTr="008677F9"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591C4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5DBED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2F721" w14:textId="12865A65" w:rsidR="00043302" w:rsidRPr="009713F4" w:rsidRDefault="009F4198" w:rsidP="002C7607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F7346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60672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1F7DE" w14:textId="5E7BE7CA" w:rsidR="00043302" w:rsidRPr="009713F4" w:rsidRDefault="002729B4" w:rsidP="002C7607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EC735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43302" w:rsidRPr="009713F4" w14:paraId="6E40DAB5" w14:textId="77777777" w:rsidTr="008677F9"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4ABB3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BB191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7E2B7" w14:textId="47467FB3" w:rsidR="00043302" w:rsidRPr="009713F4" w:rsidRDefault="009F4198" w:rsidP="002C7607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1548F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5AFC3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4C66C" w14:textId="1E024094" w:rsidR="00043302" w:rsidRPr="009713F4" w:rsidRDefault="002729B4" w:rsidP="002C7607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CFD5F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43302" w:rsidRPr="009713F4" w14:paraId="3A4B190B" w14:textId="77777777" w:rsidTr="008677F9"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3509B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83815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C3514" w14:textId="769DD9E7" w:rsidR="00043302" w:rsidRPr="009713F4" w:rsidRDefault="009F4198" w:rsidP="002C7607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D03A1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0F647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4E3E1" w14:textId="6793B61B" w:rsidR="00043302" w:rsidRPr="009713F4" w:rsidRDefault="009F4198" w:rsidP="002C7607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6D94B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43302" w:rsidRPr="009713F4" w14:paraId="083C4EF0" w14:textId="77777777" w:rsidTr="008677F9"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C8C24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d) Other organizations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9366A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96BBB" w14:textId="20BD77FE" w:rsidR="00043302" w:rsidRPr="009713F4" w:rsidRDefault="009F4198" w:rsidP="002C7607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6BC14" w14:textId="77777777" w:rsidR="00043302" w:rsidRPr="009713F4" w:rsidRDefault="00043302" w:rsidP="002C7607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A0841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BA046" w14:textId="1FB11588" w:rsidR="00043302" w:rsidRPr="009713F4" w:rsidRDefault="009F4198" w:rsidP="002C7607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05E3E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43302" w:rsidRPr="009713F4" w14:paraId="662BC294" w14:textId="77777777" w:rsidTr="008677F9"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CFB92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BD439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2,600,000,000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4973CA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0.52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BC121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D0A66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4A4C1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2,600,000,000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12E59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0.52</w:t>
            </w:r>
          </w:p>
        </w:tc>
      </w:tr>
      <w:tr w:rsidR="00043302" w:rsidRPr="009713F4" w14:paraId="656CFB5E" w14:textId="77777777" w:rsidTr="008677F9"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49516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8475A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500,000,000,000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64A25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7506B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5170C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22312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500,000,000,000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818D2" w14:textId="77777777" w:rsidR="00043302" w:rsidRPr="009713F4" w:rsidRDefault="00607337" w:rsidP="002C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13F4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</w:tr>
    </w:tbl>
    <w:p w14:paraId="20F41F24" w14:textId="77777777" w:rsidR="00043302" w:rsidRPr="009713F4" w:rsidRDefault="00607337" w:rsidP="002C76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13F4">
        <w:rPr>
          <w:rFonts w:ascii="Arial" w:hAnsi="Arial" w:cs="Arial"/>
          <w:color w:val="010000"/>
          <w:sz w:val="20"/>
        </w:rPr>
        <w:t>* Notes:</w:t>
      </w:r>
    </w:p>
    <w:p w14:paraId="505B6153" w14:textId="29F64DC6" w:rsidR="00043302" w:rsidRPr="009713F4" w:rsidRDefault="009713F4" w:rsidP="002C7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13F4">
        <w:rPr>
          <w:rFonts w:ascii="Arial" w:hAnsi="Arial" w:cs="Arial"/>
          <w:color w:val="010000"/>
          <w:sz w:val="20"/>
        </w:rPr>
        <w:t>The outstanding</w:t>
      </w:r>
      <w:r w:rsidR="00607337" w:rsidRPr="009713F4">
        <w:rPr>
          <w:rFonts w:ascii="Arial" w:hAnsi="Arial" w:cs="Arial"/>
          <w:color w:val="010000"/>
          <w:sz w:val="20"/>
        </w:rPr>
        <w:t xml:space="preserve"> balance at the end of the period: The figure is updated from the comprehensive list of securities owners receiving bond interest for period 04 </w:t>
      </w:r>
      <w:r w:rsidR="003675D9" w:rsidRPr="009713F4">
        <w:rPr>
          <w:rFonts w:ascii="Arial" w:hAnsi="Arial" w:cs="Arial"/>
          <w:color w:val="010000"/>
          <w:sz w:val="20"/>
        </w:rPr>
        <w:t>on</w:t>
      </w:r>
      <w:r w:rsidR="00607337" w:rsidRPr="009713F4">
        <w:rPr>
          <w:rFonts w:ascii="Arial" w:hAnsi="Arial" w:cs="Arial"/>
          <w:color w:val="010000"/>
          <w:sz w:val="20"/>
        </w:rPr>
        <w:t xml:space="preserve"> January 9, 2024 prepared by Vietnam Securities Depository and Clearing Corporation.</w:t>
      </w:r>
    </w:p>
    <w:p w14:paraId="5CB17E4C" w14:textId="73F7D906" w:rsidR="00043302" w:rsidRPr="009713F4" w:rsidRDefault="00607337" w:rsidP="002C7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13F4">
        <w:rPr>
          <w:rFonts w:ascii="Arial" w:hAnsi="Arial" w:cs="Arial"/>
          <w:color w:val="010000"/>
          <w:sz w:val="20"/>
        </w:rPr>
        <w:t xml:space="preserve">Credit </w:t>
      </w:r>
      <w:r w:rsidR="002729B4" w:rsidRPr="009713F4">
        <w:rPr>
          <w:rFonts w:ascii="Arial" w:hAnsi="Arial" w:cs="Arial"/>
          <w:color w:val="010000"/>
          <w:sz w:val="20"/>
        </w:rPr>
        <w:t>organizations</w:t>
      </w:r>
      <w:r w:rsidRPr="009713F4">
        <w:rPr>
          <w:rFonts w:ascii="Arial" w:hAnsi="Arial" w:cs="Arial"/>
          <w:color w:val="010000"/>
          <w:sz w:val="20"/>
        </w:rPr>
        <w:t xml:space="preserve"> include: commercial banks, financial companies, finance leasing companies, microfinance </w:t>
      </w:r>
      <w:r w:rsidR="002729B4" w:rsidRPr="009713F4">
        <w:rPr>
          <w:rFonts w:ascii="Arial" w:hAnsi="Arial" w:cs="Arial"/>
          <w:color w:val="010000"/>
          <w:sz w:val="20"/>
        </w:rPr>
        <w:t>organizations</w:t>
      </w:r>
      <w:r w:rsidRPr="009713F4">
        <w:rPr>
          <w:rFonts w:ascii="Arial" w:hAnsi="Arial" w:cs="Arial"/>
          <w:color w:val="010000"/>
          <w:sz w:val="20"/>
        </w:rPr>
        <w:t xml:space="preserve">, </w:t>
      </w:r>
      <w:r w:rsidR="009713F4" w:rsidRPr="009713F4">
        <w:rPr>
          <w:rFonts w:ascii="Arial" w:hAnsi="Arial" w:cs="Arial"/>
          <w:color w:val="010000"/>
          <w:sz w:val="20"/>
        </w:rPr>
        <w:t xml:space="preserve">and </w:t>
      </w:r>
      <w:r w:rsidRPr="009713F4">
        <w:rPr>
          <w:rFonts w:ascii="Arial" w:hAnsi="Arial" w:cs="Arial"/>
          <w:color w:val="010000"/>
          <w:sz w:val="20"/>
        </w:rPr>
        <w:t>people's credit funds.</w:t>
      </w:r>
      <w:bookmarkEnd w:id="0"/>
    </w:p>
    <w:sectPr w:rsidR="00043302" w:rsidRPr="009713F4" w:rsidSect="008677F9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embedRegular r:id="rId1" w:fontKey="{0FF52F3F-A557-4C50-B7C4-7073F9CCC9FE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050411F5-05B0-4847-BEF7-E9DBF5CBE897}"/>
    <w:embedItalic r:id="rId3" w:fontKey="{B033A86D-5105-420D-8B97-7DB5837C8683}"/>
  </w:font>
  <w:font w:name="Aptos Display">
    <w:altName w:val="Times New Roman"/>
    <w:charset w:val="00"/>
    <w:family w:val="swiss"/>
    <w:pitch w:val="variable"/>
    <w:sig w:usb0="20000287" w:usb1="00000003" w:usb2="00000000" w:usb3="00000000" w:csb0="0000019F" w:csb1="00000000"/>
    <w:embedRegular r:id="rId4" w:fontKey="{0D9224B8-AB3F-43EA-BF37-487D9C9146CF}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5" w:fontKey="{252A2BCF-1005-456F-89C6-79AAB8508CCC}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C4C4B"/>
    <w:multiLevelType w:val="multilevel"/>
    <w:tmpl w:val="DABAA01E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B7CE6"/>
    <w:multiLevelType w:val="multilevel"/>
    <w:tmpl w:val="A454B9EA"/>
    <w:lvl w:ilvl="0">
      <w:start w:val="500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02"/>
    <w:rsid w:val="00043302"/>
    <w:rsid w:val="001E1885"/>
    <w:rsid w:val="002729B4"/>
    <w:rsid w:val="002C7607"/>
    <w:rsid w:val="003675D9"/>
    <w:rsid w:val="00456E43"/>
    <w:rsid w:val="00607337"/>
    <w:rsid w:val="008677F9"/>
    <w:rsid w:val="009713F4"/>
    <w:rsid w:val="00997EE5"/>
    <w:rsid w:val="009F4198"/>
    <w:rsid w:val="00EC76F9"/>
    <w:rsid w:val="00E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0F70B"/>
  <w15:docId w15:val="{8ED7D273-649C-41CE-9355-C37208EB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iu30">
    <w:name w:val="Tiêu đề #3"/>
    <w:basedOn w:val="Normal"/>
    <w:link w:val="Tiu3"/>
    <w:pPr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Khc0">
    <w:name w:val="Khác"/>
    <w:basedOn w:val="Normal"/>
    <w:link w:val="Khc"/>
    <w:pPr>
      <w:jc w:val="center"/>
    </w:pPr>
    <w:rPr>
      <w:rFonts w:ascii="Times New Roman" w:eastAsia="Times New Roman" w:hAnsi="Times New Roman" w:cs="Times New Roman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BRLrIvG8Dqe5/d+gW+0r+zwC6Q==">CgMxLjA4AHIhMWd6ZjU4dkNGSjF4SzVMZFV2cnBwWE4zejBBRFZaTVI1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2024-07-09T03:25:00Z</dcterms:created>
  <dcterms:modified xsi:type="dcterms:W3CDTF">2024-07-10T03:24:00Z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1dc4a168ba25c4e915f0802b7afe89fc9b0a1c648c9baeccd77659c58cfbb9c6</vt:lpwstr>
  </property>
</Properties>
</file>