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AFF19" w14:textId="77777777" w:rsidR="00BA0138" w:rsidRPr="00B02227" w:rsidRDefault="00A63625" w:rsidP="00B326DC">
      <w:pPr>
        <w:pBdr>
          <w:top w:val="nil"/>
          <w:left w:val="nil"/>
          <w:bottom w:val="nil"/>
          <w:right w:val="nil"/>
          <w:between w:val="nil"/>
        </w:pBdr>
        <w:spacing w:after="120" w:line="360" w:lineRule="auto"/>
        <w:jc w:val="both"/>
        <w:rPr>
          <w:rFonts w:ascii="Arial" w:eastAsia="Arial" w:hAnsi="Arial" w:cs="Arial"/>
          <w:b/>
          <w:color w:val="010000"/>
          <w:sz w:val="20"/>
          <w:szCs w:val="20"/>
        </w:rPr>
      </w:pPr>
      <w:r w:rsidRPr="00B02227">
        <w:rPr>
          <w:rFonts w:ascii="Arial" w:hAnsi="Arial"/>
          <w:b/>
          <w:color w:val="010000"/>
          <w:sz w:val="20"/>
        </w:rPr>
        <w:t>GPC: Annual General Mandate 2024</w:t>
      </w:r>
    </w:p>
    <w:p w14:paraId="508928E3" w14:textId="77777777"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On July 04, 2024, Green Plus Joint Stock Corporation announced General Mandate No. 70/2024//NQ-DHDCD as follows:</w:t>
      </w:r>
    </w:p>
    <w:p w14:paraId="38F27F41" w14:textId="77777777"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‎‎Article 1. Approve the Report on the activities of the Board of Directors in 2023 and the operational orientation in 2024</w:t>
      </w:r>
    </w:p>
    <w:p w14:paraId="4A08C4F1" w14:textId="77777777"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‎‎Article 2. Approve the Report on activities of the Supervisory Board in 2023</w:t>
      </w:r>
    </w:p>
    <w:p w14:paraId="4D7833B5" w14:textId="77777777"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 xml:space="preserve">‎‎Article 3. Approve the Financial Statements 2023 audited by Moore </w:t>
      </w:r>
      <w:proofErr w:type="spellStart"/>
      <w:r w:rsidRPr="00B02227">
        <w:rPr>
          <w:rFonts w:ascii="Arial" w:hAnsi="Arial"/>
          <w:color w:val="010000"/>
          <w:sz w:val="20"/>
        </w:rPr>
        <w:t>Aisc</w:t>
      </w:r>
      <w:proofErr w:type="spellEnd"/>
      <w:r w:rsidRPr="00B02227">
        <w:rPr>
          <w:rFonts w:ascii="Arial" w:hAnsi="Arial"/>
          <w:color w:val="010000"/>
          <w:sz w:val="20"/>
        </w:rPr>
        <w:t xml:space="preserve"> Auditing and Informatics Services Company Limited</w:t>
      </w:r>
    </w:p>
    <w:p w14:paraId="17647EA6" w14:textId="6E0378EC"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‎‎Article 4. Approve the Report on production and business activities results in 2023 and the Plan on production and business for 2024 with</w:t>
      </w:r>
      <w:r w:rsidR="004C6BF2" w:rsidRPr="00B02227">
        <w:rPr>
          <w:rFonts w:ascii="Arial" w:hAnsi="Arial"/>
          <w:color w:val="010000"/>
          <w:sz w:val="20"/>
        </w:rPr>
        <w:t xml:space="preserve"> the basic</w:t>
      </w:r>
      <w:r w:rsidRPr="00B02227">
        <w:rPr>
          <w:rFonts w:ascii="Arial" w:hAnsi="Arial"/>
          <w:color w:val="010000"/>
          <w:sz w:val="20"/>
        </w:rPr>
        <w:t xml:space="preserve"> targets as follows:</w:t>
      </w:r>
    </w:p>
    <w:p w14:paraId="055B5C42" w14:textId="77777777"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Results of production and business activities in 2023</w:t>
      </w:r>
    </w:p>
    <w:p w14:paraId="1CEEFB10" w14:textId="23DA0320" w:rsidR="00BA0138" w:rsidRPr="00B02227"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B02227">
        <w:rPr>
          <w:rFonts w:ascii="Arial" w:hAnsi="Arial"/>
          <w:color w:val="010000"/>
          <w:sz w:val="20"/>
        </w:rPr>
        <w:t xml:space="preserve">(Unit: </w:t>
      </w:r>
      <w:r>
        <w:rPr>
          <w:rFonts w:ascii="Arial" w:hAnsi="Arial"/>
          <w:color w:val="010000"/>
          <w:sz w:val="20"/>
        </w:rPr>
        <w:t>Million VND</w:t>
      </w:r>
      <w:r w:rsidR="004C6BF2" w:rsidRPr="00B02227">
        <w:rPr>
          <w:rFonts w:ascii="Arial" w:hAnsi="Arial"/>
          <w:color w:val="010000"/>
          <w:sz w:val="20"/>
        </w:rPr>
        <w: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0"/>
        <w:gridCol w:w="2564"/>
        <w:gridCol w:w="2543"/>
      </w:tblGrid>
      <w:tr w:rsidR="00BA0138" w:rsidRPr="000C230D" w14:paraId="0BFB9314" w14:textId="77777777">
        <w:tc>
          <w:tcPr>
            <w:tcW w:w="3910" w:type="dxa"/>
            <w:shd w:val="clear" w:color="auto" w:fill="auto"/>
            <w:tcMar>
              <w:top w:w="0" w:type="dxa"/>
              <w:bottom w:w="0" w:type="dxa"/>
            </w:tcMar>
            <w:vAlign w:val="center"/>
          </w:tcPr>
          <w:p w14:paraId="1722594D"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Targets</w:t>
            </w:r>
          </w:p>
        </w:tc>
        <w:tc>
          <w:tcPr>
            <w:tcW w:w="2564" w:type="dxa"/>
            <w:shd w:val="clear" w:color="auto" w:fill="auto"/>
            <w:tcMar>
              <w:top w:w="0" w:type="dxa"/>
              <w:bottom w:w="0" w:type="dxa"/>
            </w:tcMar>
            <w:vAlign w:val="center"/>
          </w:tcPr>
          <w:p w14:paraId="1BC89333"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Holding Company</w:t>
            </w:r>
          </w:p>
        </w:tc>
        <w:tc>
          <w:tcPr>
            <w:tcW w:w="2543" w:type="dxa"/>
            <w:shd w:val="clear" w:color="auto" w:fill="auto"/>
            <w:tcMar>
              <w:top w:w="0" w:type="dxa"/>
              <w:bottom w:w="0" w:type="dxa"/>
            </w:tcMar>
            <w:vAlign w:val="center"/>
          </w:tcPr>
          <w:p w14:paraId="78C3D627"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Consolidated</w:t>
            </w:r>
          </w:p>
        </w:tc>
      </w:tr>
      <w:tr w:rsidR="00BA0138" w:rsidRPr="000C230D" w14:paraId="65419739" w14:textId="77777777">
        <w:tc>
          <w:tcPr>
            <w:tcW w:w="3910" w:type="dxa"/>
            <w:shd w:val="clear" w:color="auto" w:fill="auto"/>
            <w:tcMar>
              <w:top w:w="0" w:type="dxa"/>
              <w:bottom w:w="0" w:type="dxa"/>
            </w:tcMar>
            <w:vAlign w:val="center"/>
          </w:tcPr>
          <w:p w14:paraId="4D4611F3"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Revenue</w:t>
            </w:r>
          </w:p>
        </w:tc>
        <w:tc>
          <w:tcPr>
            <w:tcW w:w="2564" w:type="dxa"/>
            <w:shd w:val="clear" w:color="auto" w:fill="auto"/>
            <w:tcMar>
              <w:top w:w="0" w:type="dxa"/>
              <w:bottom w:w="0" w:type="dxa"/>
            </w:tcMar>
            <w:vAlign w:val="center"/>
          </w:tcPr>
          <w:p w14:paraId="142B6D26"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44,787</w:t>
            </w:r>
          </w:p>
        </w:tc>
        <w:tc>
          <w:tcPr>
            <w:tcW w:w="2543" w:type="dxa"/>
            <w:shd w:val="clear" w:color="auto" w:fill="auto"/>
            <w:tcMar>
              <w:top w:w="0" w:type="dxa"/>
              <w:bottom w:w="0" w:type="dxa"/>
            </w:tcMar>
            <w:vAlign w:val="center"/>
          </w:tcPr>
          <w:p w14:paraId="6107046C"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89,464</w:t>
            </w:r>
          </w:p>
        </w:tc>
      </w:tr>
      <w:tr w:rsidR="00BA0138" w:rsidRPr="000C230D" w14:paraId="2143ABFE" w14:textId="77777777">
        <w:tc>
          <w:tcPr>
            <w:tcW w:w="3910" w:type="dxa"/>
            <w:shd w:val="clear" w:color="auto" w:fill="auto"/>
            <w:tcMar>
              <w:top w:w="0" w:type="dxa"/>
              <w:bottom w:w="0" w:type="dxa"/>
            </w:tcMar>
            <w:vAlign w:val="center"/>
          </w:tcPr>
          <w:p w14:paraId="20534671"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Profit after tax</w:t>
            </w:r>
          </w:p>
        </w:tc>
        <w:tc>
          <w:tcPr>
            <w:tcW w:w="2564" w:type="dxa"/>
            <w:shd w:val="clear" w:color="auto" w:fill="auto"/>
            <w:tcMar>
              <w:top w:w="0" w:type="dxa"/>
              <w:bottom w:w="0" w:type="dxa"/>
            </w:tcMar>
            <w:vAlign w:val="center"/>
          </w:tcPr>
          <w:p w14:paraId="35C223A2"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33,076</w:t>
            </w:r>
          </w:p>
        </w:tc>
        <w:tc>
          <w:tcPr>
            <w:tcW w:w="2543" w:type="dxa"/>
            <w:shd w:val="clear" w:color="auto" w:fill="auto"/>
            <w:tcMar>
              <w:top w:w="0" w:type="dxa"/>
              <w:bottom w:w="0" w:type="dxa"/>
            </w:tcMar>
            <w:vAlign w:val="center"/>
          </w:tcPr>
          <w:p w14:paraId="73DDDBBC"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(1,587)</w:t>
            </w:r>
          </w:p>
        </w:tc>
      </w:tr>
    </w:tbl>
    <w:p w14:paraId="3C29E9F1" w14:textId="77777777" w:rsidR="00BA0138" w:rsidRPr="00B02227"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B02227">
        <w:rPr>
          <w:rFonts w:ascii="Arial" w:hAnsi="Arial"/>
          <w:color w:val="010000"/>
          <w:sz w:val="20"/>
        </w:rPr>
        <w:t>Production and business plan 2024</w:t>
      </w:r>
    </w:p>
    <w:p w14:paraId="2F00A502" w14:textId="61CE67ED" w:rsidR="00BA0138" w:rsidRPr="00B02227"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B02227">
        <w:rPr>
          <w:rFonts w:ascii="Arial" w:hAnsi="Arial"/>
          <w:color w:val="010000"/>
          <w:sz w:val="20"/>
        </w:rPr>
        <w:t xml:space="preserve">(Unit: </w:t>
      </w:r>
      <w:r>
        <w:rPr>
          <w:rFonts w:ascii="Arial" w:hAnsi="Arial"/>
          <w:color w:val="010000"/>
          <w:sz w:val="20"/>
        </w:rPr>
        <w:t>Million VND</w:t>
      </w:r>
      <w:r w:rsidR="004C6BF2" w:rsidRPr="00B02227">
        <w:rPr>
          <w:rFonts w:ascii="Arial" w:hAnsi="Arial"/>
          <w:color w:val="010000"/>
          <w:sz w:val="20"/>
        </w:rPr>
        <w:t>)</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0"/>
        <w:gridCol w:w="2564"/>
        <w:gridCol w:w="2543"/>
      </w:tblGrid>
      <w:tr w:rsidR="00BA0138" w:rsidRPr="000C230D" w14:paraId="5780F7C6" w14:textId="77777777">
        <w:tc>
          <w:tcPr>
            <w:tcW w:w="3910" w:type="dxa"/>
            <w:shd w:val="clear" w:color="auto" w:fill="auto"/>
            <w:tcMar>
              <w:top w:w="0" w:type="dxa"/>
              <w:bottom w:w="0" w:type="dxa"/>
            </w:tcMar>
            <w:vAlign w:val="center"/>
          </w:tcPr>
          <w:p w14:paraId="46C70B21"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Targets</w:t>
            </w:r>
          </w:p>
        </w:tc>
        <w:tc>
          <w:tcPr>
            <w:tcW w:w="2564" w:type="dxa"/>
            <w:shd w:val="clear" w:color="auto" w:fill="auto"/>
            <w:tcMar>
              <w:top w:w="0" w:type="dxa"/>
              <w:bottom w:w="0" w:type="dxa"/>
            </w:tcMar>
            <w:vAlign w:val="center"/>
          </w:tcPr>
          <w:p w14:paraId="5D02BCD0"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Holding Company</w:t>
            </w:r>
          </w:p>
        </w:tc>
        <w:tc>
          <w:tcPr>
            <w:tcW w:w="2543" w:type="dxa"/>
            <w:shd w:val="clear" w:color="auto" w:fill="auto"/>
            <w:tcMar>
              <w:top w:w="0" w:type="dxa"/>
              <w:bottom w:w="0" w:type="dxa"/>
            </w:tcMar>
            <w:vAlign w:val="center"/>
          </w:tcPr>
          <w:p w14:paraId="4D1270DF"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Consolidated</w:t>
            </w:r>
          </w:p>
        </w:tc>
      </w:tr>
      <w:tr w:rsidR="00BA0138" w:rsidRPr="000C230D" w14:paraId="6DE0BA23" w14:textId="77777777">
        <w:tc>
          <w:tcPr>
            <w:tcW w:w="3910" w:type="dxa"/>
            <w:shd w:val="clear" w:color="auto" w:fill="auto"/>
            <w:tcMar>
              <w:top w:w="0" w:type="dxa"/>
              <w:bottom w:w="0" w:type="dxa"/>
            </w:tcMar>
            <w:vAlign w:val="center"/>
          </w:tcPr>
          <w:p w14:paraId="09AE3BD4"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Revenue</w:t>
            </w:r>
          </w:p>
        </w:tc>
        <w:tc>
          <w:tcPr>
            <w:tcW w:w="2564" w:type="dxa"/>
            <w:shd w:val="clear" w:color="auto" w:fill="auto"/>
            <w:tcMar>
              <w:top w:w="0" w:type="dxa"/>
              <w:bottom w:w="0" w:type="dxa"/>
            </w:tcMar>
            <w:vAlign w:val="center"/>
          </w:tcPr>
          <w:p w14:paraId="7C39DFC5"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60,000</w:t>
            </w:r>
          </w:p>
        </w:tc>
        <w:tc>
          <w:tcPr>
            <w:tcW w:w="2543" w:type="dxa"/>
            <w:shd w:val="clear" w:color="auto" w:fill="auto"/>
            <w:tcMar>
              <w:top w:w="0" w:type="dxa"/>
              <w:bottom w:w="0" w:type="dxa"/>
            </w:tcMar>
            <w:vAlign w:val="center"/>
          </w:tcPr>
          <w:p w14:paraId="534A8BC4"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120,000</w:t>
            </w:r>
          </w:p>
        </w:tc>
      </w:tr>
      <w:tr w:rsidR="00BA0138" w:rsidRPr="000C230D" w14:paraId="63DB5ECA" w14:textId="77777777">
        <w:tc>
          <w:tcPr>
            <w:tcW w:w="3910" w:type="dxa"/>
            <w:shd w:val="clear" w:color="auto" w:fill="auto"/>
            <w:tcMar>
              <w:top w:w="0" w:type="dxa"/>
              <w:bottom w:w="0" w:type="dxa"/>
            </w:tcMar>
            <w:vAlign w:val="center"/>
          </w:tcPr>
          <w:p w14:paraId="6151CC0C"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Profit after tax</w:t>
            </w:r>
          </w:p>
        </w:tc>
        <w:tc>
          <w:tcPr>
            <w:tcW w:w="2564" w:type="dxa"/>
            <w:shd w:val="clear" w:color="auto" w:fill="auto"/>
            <w:tcMar>
              <w:top w:w="0" w:type="dxa"/>
              <w:bottom w:w="0" w:type="dxa"/>
            </w:tcMar>
            <w:vAlign w:val="center"/>
          </w:tcPr>
          <w:p w14:paraId="1A0DC19A"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20,000</w:t>
            </w:r>
          </w:p>
        </w:tc>
        <w:tc>
          <w:tcPr>
            <w:tcW w:w="2543" w:type="dxa"/>
            <w:shd w:val="clear" w:color="auto" w:fill="auto"/>
            <w:tcMar>
              <w:top w:w="0" w:type="dxa"/>
              <w:bottom w:w="0" w:type="dxa"/>
            </w:tcMar>
            <w:vAlign w:val="center"/>
          </w:tcPr>
          <w:p w14:paraId="1CC8F13C"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32,000</w:t>
            </w:r>
          </w:p>
        </w:tc>
      </w:tr>
    </w:tbl>
    <w:p w14:paraId="71D05CF9" w14:textId="302D0A3A" w:rsidR="00BA0138" w:rsidRPr="00B02227"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B02227">
        <w:rPr>
          <w:rFonts w:ascii="Arial" w:hAnsi="Arial"/>
          <w:color w:val="010000"/>
          <w:sz w:val="20"/>
        </w:rPr>
        <w:t>‎‎Article 5. Approv</w:t>
      </w:r>
      <w:r w:rsidR="004C6BF2" w:rsidRPr="00B02227">
        <w:rPr>
          <w:rFonts w:ascii="Arial" w:hAnsi="Arial"/>
          <w:color w:val="010000"/>
          <w:sz w:val="20"/>
        </w:rPr>
        <w:t>e</w:t>
      </w:r>
      <w:r w:rsidRPr="00B02227">
        <w:rPr>
          <w:rFonts w:ascii="Arial" w:hAnsi="Arial"/>
          <w:color w:val="010000"/>
          <w:sz w:val="20"/>
        </w:rPr>
        <w:t xml:space="preserve"> the profit distribution plan of 2023 and the profit distribution plan for 2024</w:t>
      </w:r>
    </w:p>
    <w:p w14:paraId="618BA461" w14:textId="77777777" w:rsidR="00BA0138" w:rsidRPr="00B02227"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B02227">
        <w:rPr>
          <w:rFonts w:ascii="Arial" w:hAnsi="Arial"/>
          <w:color w:val="010000"/>
          <w:sz w:val="20"/>
        </w:rPr>
        <w:t>Profit distribution plan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7"/>
        <w:gridCol w:w="3300"/>
      </w:tblGrid>
      <w:tr w:rsidR="00BA0138" w:rsidRPr="000C230D" w14:paraId="1647DB19" w14:textId="77777777">
        <w:tc>
          <w:tcPr>
            <w:tcW w:w="5717" w:type="dxa"/>
            <w:shd w:val="clear" w:color="auto" w:fill="auto"/>
            <w:tcMar>
              <w:top w:w="0" w:type="dxa"/>
              <w:bottom w:w="0" w:type="dxa"/>
            </w:tcMar>
            <w:vAlign w:val="center"/>
          </w:tcPr>
          <w:p w14:paraId="452E1B0B"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Targets</w:t>
            </w:r>
          </w:p>
        </w:tc>
        <w:tc>
          <w:tcPr>
            <w:tcW w:w="3300" w:type="dxa"/>
            <w:shd w:val="clear" w:color="auto" w:fill="auto"/>
            <w:tcMar>
              <w:top w:w="0" w:type="dxa"/>
              <w:bottom w:w="0" w:type="dxa"/>
            </w:tcMar>
            <w:vAlign w:val="center"/>
          </w:tcPr>
          <w:p w14:paraId="14D04DDD"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Amount (VND)</w:t>
            </w:r>
          </w:p>
        </w:tc>
      </w:tr>
      <w:tr w:rsidR="00BA0138" w:rsidRPr="000C230D" w14:paraId="6DB1D59C" w14:textId="77777777">
        <w:tc>
          <w:tcPr>
            <w:tcW w:w="5717" w:type="dxa"/>
            <w:shd w:val="clear" w:color="auto" w:fill="auto"/>
            <w:tcMar>
              <w:top w:w="0" w:type="dxa"/>
              <w:bottom w:w="0" w:type="dxa"/>
            </w:tcMar>
            <w:vAlign w:val="center"/>
          </w:tcPr>
          <w:p w14:paraId="5DAD1051"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Profit after tax of the Holding company in 2023</w:t>
            </w:r>
          </w:p>
        </w:tc>
        <w:tc>
          <w:tcPr>
            <w:tcW w:w="3300" w:type="dxa"/>
            <w:shd w:val="clear" w:color="auto" w:fill="auto"/>
            <w:tcMar>
              <w:top w:w="0" w:type="dxa"/>
              <w:bottom w:w="0" w:type="dxa"/>
            </w:tcMar>
            <w:vAlign w:val="center"/>
          </w:tcPr>
          <w:p w14:paraId="5357E325"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33,075,510,779</w:t>
            </w:r>
          </w:p>
        </w:tc>
      </w:tr>
      <w:tr w:rsidR="00BA0138" w:rsidRPr="000C230D" w14:paraId="3891C6D5" w14:textId="77777777">
        <w:tc>
          <w:tcPr>
            <w:tcW w:w="5717" w:type="dxa"/>
            <w:shd w:val="clear" w:color="auto" w:fill="auto"/>
            <w:tcMar>
              <w:top w:w="0" w:type="dxa"/>
              <w:bottom w:w="0" w:type="dxa"/>
            </w:tcMar>
            <w:vAlign w:val="center"/>
          </w:tcPr>
          <w:p w14:paraId="5A5CB356"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Distribution</w:t>
            </w:r>
          </w:p>
        </w:tc>
        <w:tc>
          <w:tcPr>
            <w:tcW w:w="3300" w:type="dxa"/>
            <w:shd w:val="clear" w:color="auto" w:fill="auto"/>
            <w:tcMar>
              <w:top w:w="0" w:type="dxa"/>
              <w:bottom w:w="0" w:type="dxa"/>
            </w:tcMar>
            <w:vAlign w:val="center"/>
          </w:tcPr>
          <w:p w14:paraId="3158D936"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972,122,198</w:t>
            </w:r>
          </w:p>
        </w:tc>
      </w:tr>
      <w:tr w:rsidR="00BA0138" w:rsidRPr="000C230D" w14:paraId="72FE14E5" w14:textId="77777777">
        <w:tc>
          <w:tcPr>
            <w:tcW w:w="5717" w:type="dxa"/>
            <w:shd w:val="clear" w:color="auto" w:fill="auto"/>
            <w:tcMar>
              <w:top w:w="0" w:type="dxa"/>
              <w:bottom w:w="0" w:type="dxa"/>
            </w:tcMar>
            <w:vAlign w:val="center"/>
          </w:tcPr>
          <w:p w14:paraId="4B85A787" w14:textId="5E22D853" w:rsidR="00BA0138" w:rsidRPr="000C230D" w:rsidRDefault="00A63625" w:rsidP="004C6BF2">
            <w:pPr>
              <w:pStyle w:val="ListParagraph"/>
              <w:numPr>
                <w:ilvl w:val="0"/>
                <w:numId w:val="3"/>
              </w:numPr>
              <w:pBdr>
                <w:top w:val="nil"/>
                <w:left w:val="nil"/>
                <w:bottom w:val="nil"/>
                <w:right w:val="nil"/>
                <w:between w:val="nil"/>
              </w:pBdr>
              <w:spacing w:after="120" w:line="360" w:lineRule="auto"/>
              <w:ind w:left="0" w:hanging="15"/>
              <w:rPr>
                <w:rFonts w:ascii="Arial" w:eastAsia="Arial" w:hAnsi="Arial" w:cs="Arial"/>
                <w:color w:val="010000"/>
                <w:sz w:val="20"/>
                <w:szCs w:val="20"/>
              </w:rPr>
            </w:pPr>
            <w:r w:rsidRPr="000C230D">
              <w:rPr>
                <w:rFonts w:ascii="Arial" w:hAnsi="Arial"/>
                <w:color w:val="010000"/>
                <w:sz w:val="20"/>
              </w:rPr>
              <w:t>Remuneration fund for the Board of Directors and the Supervisory Board</w:t>
            </w:r>
          </w:p>
        </w:tc>
        <w:tc>
          <w:tcPr>
            <w:tcW w:w="3300" w:type="dxa"/>
            <w:shd w:val="clear" w:color="auto" w:fill="auto"/>
            <w:tcMar>
              <w:top w:w="0" w:type="dxa"/>
              <w:bottom w:w="0" w:type="dxa"/>
            </w:tcMar>
            <w:vAlign w:val="center"/>
          </w:tcPr>
          <w:p w14:paraId="6178D130"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151,000,000</w:t>
            </w:r>
          </w:p>
        </w:tc>
      </w:tr>
      <w:tr w:rsidR="00BA0138" w:rsidRPr="000C230D" w14:paraId="617F3A71" w14:textId="77777777">
        <w:tc>
          <w:tcPr>
            <w:tcW w:w="5717" w:type="dxa"/>
            <w:shd w:val="clear" w:color="auto" w:fill="auto"/>
            <w:tcMar>
              <w:top w:w="0" w:type="dxa"/>
              <w:bottom w:w="0" w:type="dxa"/>
            </w:tcMar>
            <w:vAlign w:val="center"/>
          </w:tcPr>
          <w:p w14:paraId="18749C11" w14:textId="6DE9D4C3" w:rsidR="00BA0138" w:rsidRPr="000C230D" w:rsidRDefault="00A63625" w:rsidP="004C6BF2">
            <w:pPr>
              <w:pStyle w:val="ListParagraph"/>
              <w:numPr>
                <w:ilvl w:val="0"/>
                <w:numId w:val="3"/>
              </w:numPr>
              <w:pBdr>
                <w:top w:val="nil"/>
                <w:left w:val="nil"/>
                <w:bottom w:val="nil"/>
                <w:right w:val="nil"/>
                <w:between w:val="nil"/>
              </w:pBdr>
              <w:spacing w:after="120" w:line="360" w:lineRule="auto"/>
              <w:ind w:left="0" w:hanging="15"/>
              <w:rPr>
                <w:rFonts w:ascii="Arial" w:eastAsia="Arial" w:hAnsi="Arial" w:cs="Arial"/>
                <w:color w:val="010000"/>
                <w:sz w:val="20"/>
                <w:szCs w:val="20"/>
              </w:rPr>
            </w:pPr>
            <w:r w:rsidRPr="000C230D">
              <w:rPr>
                <w:rFonts w:ascii="Arial" w:hAnsi="Arial"/>
                <w:color w:val="010000"/>
                <w:sz w:val="20"/>
              </w:rPr>
              <w:t>Bonus and Welfare Fund</w:t>
            </w:r>
          </w:p>
        </w:tc>
        <w:tc>
          <w:tcPr>
            <w:tcW w:w="3300" w:type="dxa"/>
            <w:shd w:val="clear" w:color="auto" w:fill="auto"/>
            <w:tcMar>
              <w:top w:w="0" w:type="dxa"/>
              <w:bottom w:w="0" w:type="dxa"/>
            </w:tcMar>
            <w:vAlign w:val="center"/>
          </w:tcPr>
          <w:p w14:paraId="4C93E9DA"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821,122,198</w:t>
            </w:r>
          </w:p>
        </w:tc>
      </w:tr>
      <w:tr w:rsidR="00BA0138" w:rsidRPr="000C230D" w14:paraId="7A33B22E" w14:textId="77777777">
        <w:tc>
          <w:tcPr>
            <w:tcW w:w="5717" w:type="dxa"/>
            <w:shd w:val="clear" w:color="auto" w:fill="auto"/>
            <w:tcMar>
              <w:top w:w="0" w:type="dxa"/>
              <w:bottom w:w="0" w:type="dxa"/>
            </w:tcMar>
            <w:vAlign w:val="center"/>
          </w:tcPr>
          <w:p w14:paraId="68F1F09E"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Retained profit</w:t>
            </w:r>
          </w:p>
        </w:tc>
        <w:tc>
          <w:tcPr>
            <w:tcW w:w="3300" w:type="dxa"/>
            <w:shd w:val="clear" w:color="auto" w:fill="auto"/>
            <w:tcMar>
              <w:top w:w="0" w:type="dxa"/>
              <w:bottom w:w="0" w:type="dxa"/>
            </w:tcMar>
            <w:vAlign w:val="center"/>
          </w:tcPr>
          <w:p w14:paraId="24A8C8FF" w14:textId="77777777" w:rsidR="00BA0138" w:rsidRPr="000C230D"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0C230D">
              <w:rPr>
                <w:rFonts w:ascii="Arial" w:hAnsi="Arial"/>
                <w:color w:val="010000"/>
                <w:sz w:val="20"/>
              </w:rPr>
              <w:t>32,103,388,581</w:t>
            </w:r>
          </w:p>
        </w:tc>
      </w:tr>
    </w:tbl>
    <w:p w14:paraId="2C477CDB" w14:textId="77777777" w:rsidR="00BA0138" w:rsidRPr="00B02227" w:rsidRDefault="00A63625">
      <w:pPr>
        <w:pBdr>
          <w:top w:val="nil"/>
          <w:left w:val="nil"/>
          <w:bottom w:val="nil"/>
          <w:right w:val="nil"/>
          <w:between w:val="nil"/>
        </w:pBdr>
        <w:spacing w:after="120" w:line="360" w:lineRule="auto"/>
        <w:rPr>
          <w:rFonts w:ascii="Arial" w:eastAsia="Arial" w:hAnsi="Arial" w:cs="Arial"/>
          <w:color w:val="010000"/>
          <w:sz w:val="20"/>
          <w:szCs w:val="20"/>
        </w:rPr>
      </w:pPr>
      <w:r w:rsidRPr="00B02227">
        <w:rPr>
          <w:rFonts w:ascii="Arial" w:hAnsi="Arial"/>
          <w:color w:val="010000"/>
          <w:sz w:val="20"/>
        </w:rPr>
        <w:t>Profit distribution plan for 2024</w:t>
      </w:r>
    </w:p>
    <w:p w14:paraId="4D8DB7FF" w14:textId="77777777" w:rsidR="00BA0138" w:rsidRPr="00B02227" w:rsidRDefault="00A63625" w:rsidP="00B326DC">
      <w:pPr>
        <w:numPr>
          <w:ilvl w:val="0"/>
          <w:numId w:val="2"/>
        </w:numPr>
        <w:pBdr>
          <w:top w:val="nil"/>
          <w:left w:val="nil"/>
          <w:bottom w:val="nil"/>
          <w:right w:val="nil"/>
          <w:between w:val="nil"/>
        </w:pBdr>
        <w:tabs>
          <w:tab w:val="left" w:pos="580"/>
        </w:tabs>
        <w:spacing w:after="120" w:line="360" w:lineRule="auto"/>
        <w:ind w:firstLine="360"/>
        <w:jc w:val="both"/>
        <w:rPr>
          <w:rFonts w:ascii="Arial" w:eastAsia="Arial" w:hAnsi="Arial" w:cs="Arial"/>
          <w:color w:val="010000"/>
          <w:sz w:val="20"/>
          <w:szCs w:val="20"/>
        </w:rPr>
      </w:pPr>
      <w:r w:rsidRPr="00B02227">
        <w:rPr>
          <w:rFonts w:ascii="Arial" w:hAnsi="Arial"/>
          <w:color w:val="010000"/>
          <w:sz w:val="20"/>
        </w:rPr>
        <w:t xml:space="preserve">Remuneration fund for the Board of Directors and the Supervisory Board: Not exceeding 1% of </w:t>
      </w:r>
      <w:r w:rsidRPr="00B02227">
        <w:rPr>
          <w:rFonts w:ascii="Arial" w:hAnsi="Arial"/>
          <w:color w:val="010000"/>
          <w:sz w:val="20"/>
        </w:rPr>
        <w:lastRenderedPageBreak/>
        <w:t>the profit after tax</w:t>
      </w:r>
    </w:p>
    <w:p w14:paraId="50D894B1" w14:textId="77777777" w:rsidR="00BA0138" w:rsidRPr="00B02227" w:rsidRDefault="00A63625" w:rsidP="00B326DC">
      <w:pPr>
        <w:numPr>
          <w:ilvl w:val="0"/>
          <w:numId w:val="2"/>
        </w:numPr>
        <w:pBdr>
          <w:top w:val="nil"/>
          <w:left w:val="nil"/>
          <w:bottom w:val="nil"/>
          <w:right w:val="nil"/>
          <w:between w:val="nil"/>
        </w:pBdr>
        <w:tabs>
          <w:tab w:val="left" w:pos="580"/>
        </w:tabs>
        <w:spacing w:after="120" w:line="360" w:lineRule="auto"/>
        <w:ind w:firstLine="360"/>
        <w:jc w:val="both"/>
        <w:rPr>
          <w:rFonts w:ascii="Arial" w:eastAsia="Arial" w:hAnsi="Arial" w:cs="Arial"/>
          <w:color w:val="010000"/>
          <w:sz w:val="20"/>
          <w:szCs w:val="20"/>
        </w:rPr>
      </w:pPr>
      <w:r w:rsidRPr="00B02227">
        <w:rPr>
          <w:rFonts w:ascii="Arial" w:hAnsi="Arial"/>
          <w:color w:val="010000"/>
          <w:sz w:val="20"/>
        </w:rPr>
        <w:t>Bonus and welfare fund: Not exceeding 4% of the profit after tax</w:t>
      </w:r>
    </w:p>
    <w:p w14:paraId="1CAE0238" w14:textId="7017961D"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‎‎Article 6. Approve the remuneration of</w:t>
      </w:r>
      <w:r w:rsidR="00B326DC">
        <w:rPr>
          <w:rFonts w:ascii="Arial" w:hAnsi="Arial"/>
          <w:color w:val="010000"/>
          <w:sz w:val="20"/>
        </w:rPr>
        <w:t xml:space="preserve"> the Board of Directors and </w:t>
      </w:r>
      <w:r w:rsidRPr="00B02227">
        <w:rPr>
          <w:rFonts w:ascii="Arial" w:hAnsi="Arial"/>
          <w:color w:val="010000"/>
          <w:sz w:val="20"/>
        </w:rPr>
        <w:t>Supervisory Board in 2023 and the plan for 2024</w:t>
      </w:r>
    </w:p>
    <w:p w14:paraId="5A97CDEC" w14:textId="77777777"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‎‎Article 7. Approve the selection of an independent audit company for the fiscal year of 2024.</w:t>
      </w:r>
    </w:p>
    <w:p w14:paraId="0CC3BDB0" w14:textId="549F81BF"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 xml:space="preserve">‎‎Article 8. Approve the content of distributing shares to shareholders with a total rate of 30% from </w:t>
      </w:r>
      <w:r w:rsidR="00B02227" w:rsidRPr="00B02227">
        <w:rPr>
          <w:rFonts w:ascii="Arial" w:hAnsi="Arial"/>
          <w:color w:val="010000"/>
          <w:sz w:val="20"/>
        </w:rPr>
        <w:t>the source of owners' equity</w:t>
      </w:r>
      <w:r w:rsidRPr="00B02227">
        <w:rPr>
          <w:rFonts w:ascii="Arial" w:hAnsi="Arial"/>
          <w:color w:val="010000"/>
          <w:sz w:val="20"/>
        </w:rPr>
        <w:t>.</w:t>
      </w:r>
    </w:p>
    <w:p w14:paraId="4C50D271" w14:textId="77777777"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Detailed issuance plan</w:t>
      </w:r>
    </w:p>
    <w:p w14:paraId="53A61A28" w14:textId="53E6D96F" w:rsidR="00BA0138" w:rsidRPr="00B02227" w:rsidRDefault="00A63625" w:rsidP="00B326DC">
      <w:pPr>
        <w:numPr>
          <w:ilvl w:val="0"/>
          <w:numId w:val="2"/>
        </w:numPr>
        <w:pBdr>
          <w:top w:val="nil"/>
          <w:left w:val="nil"/>
          <w:bottom w:val="nil"/>
          <w:right w:val="nil"/>
          <w:between w:val="nil"/>
        </w:pBdr>
        <w:tabs>
          <w:tab w:val="left" w:pos="349"/>
        </w:tabs>
        <w:spacing w:after="120" w:line="360" w:lineRule="auto"/>
        <w:ind w:left="360" w:hanging="360"/>
        <w:jc w:val="both"/>
        <w:rPr>
          <w:rFonts w:ascii="Arial" w:eastAsia="Arial" w:hAnsi="Arial" w:cs="Arial"/>
          <w:color w:val="010000"/>
          <w:sz w:val="20"/>
          <w:szCs w:val="20"/>
        </w:rPr>
      </w:pPr>
      <w:r w:rsidRPr="00B02227">
        <w:rPr>
          <w:rFonts w:ascii="Arial" w:hAnsi="Arial"/>
          <w:color w:val="010000"/>
          <w:sz w:val="20"/>
        </w:rPr>
        <w:t>Subjects of the issuance: Existing shareholders named on the list of shareholders on the record date for the list of shareholders. The General Meeting authorized the Board of Directors to decide on the record date for the list of shareholders.</w:t>
      </w:r>
    </w:p>
    <w:p w14:paraId="264659F5" w14:textId="77777777" w:rsidR="00BA0138" w:rsidRPr="00B02227" w:rsidRDefault="00A63625" w:rsidP="00B326DC">
      <w:pPr>
        <w:numPr>
          <w:ilvl w:val="0"/>
          <w:numId w:val="2"/>
        </w:numPr>
        <w:pBdr>
          <w:top w:val="nil"/>
          <w:left w:val="nil"/>
          <w:bottom w:val="nil"/>
          <w:right w:val="nil"/>
          <w:between w:val="nil"/>
        </w:pBdr>
        <w:tabs>
          <w:tab w:val="left" w:pos="349"/>
        </w:tabs>
        <w:spacing w:after="120" w:line="360" w:lineRule="auto"/>
        <w:ind w:left="360" w:hanging="360"/>
        <w:jc w:val="both"/>
        <w:rPr>
          <w:rFonts w:ascii="Arial" w:eastAsia="Arial" w:hAnsi="Arial" w:cs="Arial"/>
          <w:color w:val="010000"/>
          <w:sz w:val="20"/>
          <w:szCs w:val="20"/>
        </w:rPr>
      </w:pPr>
      <w:r w:rsidRPr="00B02227">
        <w:rPr>
          <w:rFonts w:ascii="Arial" w:hAnsi="Arial"/>
          <w:color w:val="010000"/>
          <w:sz w:val="20"/>
        </w:rPr>
        <w:t>Maximum number of shares expected to be issued 12,478,200</w:t>
      </w:r>
    </w:p>
    <w:p w14:paraId="73F5D548" w14:textId="77777777" w:rsidR="00BA0138" w:rsidRPr="00B02227" w:rsidRDefault="00A63625" w:rsidP="00B326DC">
      <w:pPr>
        <w:numPr>
          <w:ilvl w:val="0"/>
          <w:numId w:val="2"/>
        </w:numPr>
        <w:pBdr>
          <w:top w:val="nil"/>
          <w:left w:val="nil"/>
          <w:bottom w:val="nil"/>
          <w:right w:val="nil"/>
          <w:between w:val="nil"/>
        </w:pBdr>
        <w:tabs>
          <w:tab w:val="left" w:pos="349"/>
        </w:tabs>
        <w:spacing w:after="120" w:line="360" w:lineRule="auto"/>
        <w:ind w:left="360" w:hanging="360"/>
        <w:jc w:val="both"/>
        <w:rPr>
          <w:rFonts w:ascii="Arial" w:eastAsia="Arial" w:hAnsi="Arial" w:cs="Arial"/>
          <w:color w:val="010000"/>
          <w:sz w:val="20"/>
          <w:szCs w:val="20"/>
        </w:rPr>
      </w:pPr>
      <w:r w:rsidRPr="00B02227">
        <w:rPr>
          <w:rFonts w:ascii="Arial" w:hAnsi="Arial"/>
          <w:color w:val="010000"/>
          <w:sz w:val="20"/>
        </w:rPr>
        <w:t xml:space="preserve">Total issuance value at par value: VND124,782,000,000 </w:t>
      </w:r>
    </w:p>
    <w:p w14:paraId="39041DB9" w14:textId="7C9B8981" w:rsidR="00BA0138" w:rsidRPr="00B02227" w:rsidRDefault="00B02227" w:rsidP="00B326DC">
      <w:pPr>
        <w:numPr>
          <w:ilvl w:val="0"/>
          <w:numId w:val="2"/>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B02227">
        <w:rPr>
          <w:rFonts w:ascii="Arial" w:hAnsi="Arial"/>
          <w:color w:val="010000"/>
          <w:sz w:val="20"/>
        </w:rPr>
        <w:t>Rate of the number of shares expected to be issued: 30% of the number of outstanding shares:</w:t>
      </w:r>
    </w:p>
    <w:p w14:paraId="6DF511B4" w14:textId="77777777" w:rsidR="00BA0138" w:rsidRPr="00B02227" w:rsidRDefault="00A63625" w:rsidP="00B326DC">
      <w:pPr>
        <w:numPr>
          <w:ilvl w:val="0"/>
          <w:numId w:val="2"/>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B02227">
        <w:rPr>
          <w:rFonts w:ascii="Arial" w:hAnsi="Arial"/>
          <w:color w:val="010000"/>
          <w:sz w:val="20"/>
        </w:rPr>
        <w:t>Rate of exercise of rights, plan for handling arising fractional shares (if any): 10:3</w:t>
      </w:r>
    </w:p>
    <w:p w14:paraId="6DB51BE0" w14:textId="0F83E9E2"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 xml:space="preserve">Every shareholder owning 01 share will receive 01 right to receive additional shares. For every 10 rights to receive additional shares, shareholders will receive 3 new shares. The number of additional shares issued will be rounded down to the unit, the decimal fraction (if any) will be </w:t>
      </w:r>
      <w:r w:rsidR="003B6039">
        <w:rPr>
          <w:rFonts w:ascii="Arial" w:hAnsi="Arial"/>
          <w:color w:val="010000"/>
          <w:sz w:val="20"/>
        </w:rPr>
        <w:t>disposed of</w:t>
      </w:r>
      <w:r w:rsidRPr="00B02227">
        <w:rPr>
          <w:rFonts w:ascii="Arial" w:hAnsi="Arial"/>
          <w:color w:val="010000"/>
          <w:sz w:val="20"/>
        </w:rPr>
        <w:t xml:space="preserve"> and considered unissued.</w:t>
      </w:r>
    </w:p>
    <w:p w14:paraId="57FB5962" w14:textId="596DB20A"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For example: Shareholder A owns 109 shares at the record date of the list of shareholders. With the exercise rate is 10:03, shareholder A will receive (109/</w:t>
      </w:r>
      <w:proofErr w:type="gramStart"/>
      <w:r w:rsidR="00B02227" w:rsidRPr="00B02227">
        <w:rPr>
          <w:rFonts w:ascii="Arial" w:hAnsi="Arial"/>
          <w:color w:val="010000"/>
          <w:sz w:val="20"/>
        </w:rPr>
        <w:t>10)</w:t>
      </w:r>
      <w:r w:rsidRPr="00B02227">
        <w:rPr>
          <w:rFonts w:ascii="Arial" w:hAnsi="Arial"/>
          <w:color w:val="010000"/>
          <w:sz w:val="20"/>
        </w:rPr>
        <w:t>*</w:t>
      </w:r>
      <w:proofErr w:type="gramEnd"/>
      <w:r w:rsidRPr="00B02227">
        <w:rPr>
          <w:rFonts w:ascii="Arial" w:hAnsi="Arial"/>
          <w:color w:val="010000"/>
          <w:sz w:val="20"/>
        </w:rPr>
        <w:t xml:space="preserve">3= 32.7 new shares. According to the above principle, shareholder A will receive 32 new shares, and fractional shares of 0.7 will be </w:t>
      </w:r>
      <w:r w:rsidR="003B6039">
        <w:rPr>
          <w:rFonts w:ascii="Arial" w:hAnsi="Arial"/>
          <w:color w:val="010000"/>
          <w:sz w:val="20"/>
        </w:rPr>
        <w:t>disposed of</w:t>
      </w:r>
      <w:r w:rsidRPr="00B02227">
        <w:rPr>
          <w:rFonts w:ascii="Arial" w:hAnsi="Arial"/>
          <w:color w:val="010000"/>
          <w:sz w:val="20"/>
        </w:rPr>
        <w:t xml:space="preserve">. </w:t>
      </w:r>
    </w:p>
    <w:p w14:paraId="60A0EBED" w14:textId="77777777" w:rsidR="00BA0138" w:rsidRPr="00B02227" w:rsidRDefault="00A63625" w:rsidP="00B326DC">
      <w:pPr>
        <w:numPr>
          <w:ilvl w:val="0"/>
          <w:numId w:val="2"/>
        </w:numPr>
        <w:pBdr>
          <w:top w:val="nil"/>
          <w:left w:val="nil"/>
          <w:bottom w:val="nil"/>
          <w:right w:val="nil"/>
          <w:between w:val="nil"/>
        </w:pBdr>
        <w:tabs>
          <w:tab w:val="left" w:pos="349"/>
        </w:tabs>
        <w:spacing w:after="120" w:line="360" w:lineRule="auto"/>
        <w:ind w:left="360" w:hanging="360"/>
        <w:jc w:val="both"/>
        <w:rPr>
          <w:rFonts w:ascii="Arial" w:eastAsia="Arial" w:hAnsi="Arial" w:cs="Arial"/>
          <w:color w:val="010000"/>
          <w:sz w:val="20"/>
          <w:szCs w:val="20"/>
        </w:rPr>
      </w:pPr>
      <w:r w:rsidRPr="00B02227">
        <w:rPr>
          <w:rFonts w:ascii="Arial" w:hAnsi="Arial"/>
          <w:color w:val="010000"/>
          <w:sz w:val="20"/>
        </w:rPr>
        <w:t>Capital source for the issuance: Surplus capital from share issuance and undistributed profits, based on the Holding company's Financial Statements 2023.</w:t>
      </w:r>
    </w:p>
    <w:p w14:paraId="1887CF72" w14:textId="77777777" w:rsidR="00BA0138" w:rsidRPr="00B02227" w:rsidRDefault="00A63625" w:rsidP="00B326DC">
      <w:pPr>
        <w:numPr>
          <w:ilvl w:val="0"/>
          <w:numId w:val="2"/>
        </w:numPr>
        <w:pBdr>
          <w:top w:val="nil"/>
          <w:left w:val="nil"/>
          <w:bottom w:val="nil"/>
          <w:right w:val="nil"/>
          <w:between w:val="nil"/>
        </w:pBdr>
        <w:tabs>
          <w:tab w:val="left" w:pos="349"/>
        </w:tabs>
        <w:spacing w:after="120" w:line="360" w:lineRule="auto"/>
        <w:ind w:left="360" w:hanging="360"/>
        <w:jc w:val="both"/>
        <w:rPr>
          <w:rFonts w:ascii="Arial" w:eastAsia="Arial" w:hAnsi="Arial" w:cs="Arial"/>
          <w:color w:val="010000"/>
          <w:sz w:val="20"/>
          <w:szCs w:val="20"/>
        </w:rPr>
      </w:pPr>
      <w:r w:rsidRPr="00B02227">
        <w:rPr>
          <w:rFonts w:ascii="Arial" w:hAnsi="Arial"/>
          <w:color w:val="010000"/>
          <w:sz w:val="20"/>
        </w:rPr>
        <w:t>Issuance method: Shares issued to existing shareholders will be distributed according to the method of exercising rights.</w:t>
      </w:r>
    </w:p>
    <w:p w14:paraId="2D2E14EB" w14:textId="77777777" w:rsidR="00BA0138" w:rsidRPr="00B02227" w:rsidRDefault="00A63625" w:rsidP="00B326DC">
      <w:pPr>
        <w:numPr>
          <w:ilvl w:val="0"/>
          <w:numId w:val="2"/>
        </w:numPr>
        <w:pBdr>
          <w:top w:val="nil"/>
          <w:left w:val="nil"/>
          <w:bottom w:val="nil"/>
          <w:right w:val="nil"/>
          <w:between w:val="nil"/>
        </w:pBdr>
        <w:tabs>
          <w:tab w:val="left" w:pos="349"/>
        </w:tabs>
        <w:spacing w:after="120" w:line="360" w:lineRule="auto"/>
        <w:ind w:left="360" w:hanging="360"/>
        <w:jc w:val="both"/>
        <w:rPr>
          <w:rFonts w:ascii="Arial" w:eastAsia="Arial" w:hAnsi="Arial" w:cs="Arial"/>
          <w:color w:val="010000"/>
          <w:sz w:val="20"/>
          <w:szCs w:val="20"/>
        </w:rPr>
      </w:pPr>
      <w:r w:rsidRPr="00B02227">
        <w:rPr>
          <w:rFonts w:ascii="Arial" w:hAnsi="Arial"/>
          <w:color w:val="010000"/>
          <w:sz w:val="20"/>
        </w:rPr>
        <w:t>Issuance purpose: to increase the charter capital for the company's needs to develop production and business.</w:t>
      </w:r>
    </w:p>
    <w:p w14:paraId="5BE5404E" w14:textId="77777777" w:rsidR="00BA0138" w:rsidRPr="00B02227" w:rsidRDefault="00A63625" w:rsidP="00B326DC">
      <w:pPr>
        <w:numPr>
          <w:ilvl w:val="0"/>
          <w:numId w:val="2"/>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B02227">
        <w:rPr>
          <w:rFonts w:ascii="Arial" w:hAnsi="Arial"/>
          <w:color w:val="010000"/>
          <w:sz w:val="20"/>
        </w:rPr>
        <w:t>Transfer condition:</w:t>
      </w:r>
    </w:p>
    <w:p w14:paraId="04E0CE60" w14:textId="7305221F" w:rsidR="00BA0138" w:rsidRPr="00B02227" w:rsidRDefault="00A63625" w:rsidP="00B326DC">
      <w:pPr>
        <w:numPr>
          <w:ilvl w:val="0"/>
          <w:numId w:val="1"/>
        </w:numPr>
        <w:pBdr>
          <w:top w:val="nil"/>
          <w:left w:val="nil"/>
          <w:bottom w:val="nil"/>
          <w:right w:val="nil"/>
          <w:between w:val="nil"/>
        </w:pBdr>
        <w:tabs>
          <w:tab w:val="left" w:pos="758"/>
        </w:tabs>
        <w:spacing w:after="120" w:line="360" w:lineRule="auto"/>
        <w:ind w:left="360" w:hanging="360"/>
        <w:jc w:val="both"/>
        <w:rPr>
          <w:rFonts w:ascii="Arial" w:eastAsia="Arial" w:hAnsi="Arial" w:cs="Arial"/>
          <w:color w:val="010000"/>
          <w:sz w:val="20"/>
          <w:szCs w:val="20"/>
        </w:rPr>
      </w:pPr>
      <w:r w:rsidRPr="00B02227">
        <w:rPr>
          <w:rFonts w:ascii="Arial" w:hAnsi="Arial"/>
          <w:color w:val="010000"/>
          <w:sz w:val="20"/>
        </w:rPr>
        <w:t>The rights to receive issued shares to increase charter capital from</w:t>
      </w:r>
      <w:r w:rsidR="00B02227" w:rsidRPr="00B02227">
        <w:rPr>
          <w:rFonts w:ascii="Arial" w:hAnsi="Arial"/>
          <w:color w:val="010000"/>
          <w:sz w:val="20"/>
        </w:rPr>
        <w:t xml:space="preserve"> the</w:t>
      </w:r>
      <w:r w:rsidRPr="00B02227">
        <w:rPr>
          <w:rFonts w:ascii="Arial" w:hAnsi="Arial"/>
          <w:color w:val="010000"/>
          <w:sz w:val="20"/>
        </w:rPr>
        <w:t xml:space="preserve"> source of owners' equity is not transferable</w:t>
      </w:r>
    </w:p>
    <w:p w14:paraId="3F59EAC7" w14:textId="77777777" w:rsidR="00BA0138" w:rsidRPr="00B02227" w:rsidRDefault="00A63625" w:rsidP="00B326DC">
      <w:pPr>
        <w:numPr>
          <w:ilvl w:val="0"/>
          <w:numId w:val="1"/>
        </w:numPr>
        <w:pBdr>
          <w:top w:val="nil"/>
          <w:left w:val="nil"/>
          <w:bottom w:val="nil"/>
          <w:right w:val="nil"/>
          <w:between w:val="nil"/>
        </w:pBdr>
        <w:tabs>
          <w:tab w:val="left" w:pos="758"/>
        </w:tabs>
        <w:spacing w:after="120" w:line="360" w:lineRule="auto"/>
        <w:ind w:left="360" w:hanging="360"/>
        <w:jc w:val="both"/>
        <w:rPr>
          <w:rFonts w:ascii="Arial" w:eastAsia="Arial" w:hAnsi="Arial" w:cs="Arial"/>
          <w:color w:val="010000"/>
          <w:sz w:val="20"/>
          <w:szCs w:val="20"/>
        </w:rPr>
      </w:pPr>
      <w:r w:rsidRPr="00B02227">
        <w:rPr>
          <w:rFonts w:ascii="Arial" w:hAnsi="Arial"/>
          <w:color w:val="010000"/>
          <w:sz w:val="20"/>
        </w:rPr>
        <w:t>Additional shares issued in the form of increasing share capital from the source of owners’ equity are not limited to transfer.</w:t>
      </w:r>
    </w:p>
    <w:p w14:paraId="7790AD14" w14:textId="77777777" w:rsidR="00BA0138" w:rsidRPr="00B02227" w:rsidRDefault="00A63625" w:rsidP="00B326DC">
      <w:pPr>
        <w:numPr>
          <w:ilvl w:val="0"/>
          <w:numId w:val="2"/>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B02227">
        <w:rPr>
          <w:rFonts w:ascii="Arial" w:hAnsi="Arial"/>
          <w:color w:val="010000"/>
          <w:sz w:val="20"/>
        </w:rPr>
        <w:t>Implementation time: After being approved by the State Securities Commission of Vietnam</w:t>
      </w:r>
    </w:p>
    <w:p w14:paraId="044CE1D7" w14:textId="77777777"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B02227">
        <w:rPr>
          <w:rFonts w:ascii="Arial" w:hAnsi="Arial"/>
          <w:color w:val="010000"/>
          <w:sz w:val="20"/>
        </w:rPr>
        <w:lastRenderedPageBreak/>
        <w:t>‎‎Article 9. Terms of enforcement</w:t>
      </w:r>
    </w:p>
    <w:p w14:paraId="1480951A" w14:textId="28BCE695"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The Board of Directors</w:t>
      </w:r>
      <w:r w:rsidR="003B6039">
        <w:rPr>
          <w:rFonts w:ascii="Arial" w:hAnsi="Arial"/>
          <w:color w:val="010000"/>
          <w:sz w:val="20"/>
        </w:rPr>
        <w:t xml:space="preserve">, </w:t>
      </w:r>
      <w:bookmarkStart w:id="1" w:name="_GoBack"/>
      <w:bookmarkEnd w:id="1"/>
      <w:r w:rsidR="003B6039">
        <w:rPr>
          <w:rFonts w:ascii="Arial" w:hAnsi="Arial"/>
          <w:color w:val="010000"/>
          <w:sz w:val="20"/>
        </w:rPr>
        <w:t xml:space="preserve">Supervisory Board and </w:t>
      </w:r>
      <w:r w:rsidRPr="00B02227">
        <w:rPr>
          <w:rFonts w:ascii="Arial" w:hAnsi="Arial"/>
          <w:color w:val="010000"/>
          <w:sz w:val="20"/>
        </w:rPr>
        <w:t>Executive Board are responsible for disseminating, implementing and monitoring the implementation of this General Mandate.</w:t>
      </w:r>
    </w:p>
    <w:p w14:paraId="23E4CF6D" w14:textId="583AC9AF" w:rsidR="00BA0138" w:rsidRPr="00B02227" w:rsidRDefault="00A63625" w:rsidP="00B326DC">
      <w:pPr>
        <w:pBdr>
          <w:top w:val="nil"/>
          <w:left w:val="nil"/>
          <w:bottom w:val="nil"/>
          <w:right w:val="nil"/>
          <w:between w:val="nil"/>
        </w:pBdr>
        <w:spacing w:after="120" w:line="360" w:lineRule="auto"/>
        <w:jc w:val="both"/>
        <w:rPr>
          <w:rFonts w:ascii="Arial" w:eastAsia="Arial" w:hAnsi="Arial" w:cs="Arial"/>
          <w:color w:val="010000"/>
          <w:sz w:val="20"/>
          <w:szCs w:val="20"/>
        </w:rPr>
      </w:pPr>
      <w:r w:rsidRPr="00B02227">
        <w:rPr>
          <w:rFonts w:ascii="Arial" w:hAnsi="Arial"/>
          <w:color w:val="010000"/>
          <w:sz w:val="20"/>
        </w:rPr>
        <w:t xml:space="preserve">This General Mandate takes effect from the date of </w:t>
      </w:r>
      <w:r w:rsidR="00B02227" w:rsidRPr="00B02227">
        <w:rPr>
          <w:rFonts w:ascii="Arial" w:hAnsi="Arial"/>
          <w:color w:val="010000"/>
          <w:sz w:val="20"/>
        </w:rPr>
        <w:t xml:space="preserve">its </w:t>
      </w:r>
      <w:r w:rsidRPr="00B02227">
        <w:rPr>
          <w:rFonts w:ascii="Arial" w:hAnsi="Arial"/>
          <w:color w:val="010000"/>
          <w:sz w:val="20"/>
        </w:rPr>
        <w:t>signing.</w:t>
      </w:r>
    </w:p>
    <w:p w14:paraId="1BF65F4B" w14:textId="77777777" w:rsidR="00BA0138" w:rsidRPr="00B02227" w:rsidRDefault="00BA0138" w:rsidP="00B326DC">
      <w:pPr>
        <w:spacing w:after="120" w:line="360" w:lineRule="auto"/>
        <w:jc w:val="both"/>
        <w:rPr>
          <w:rFonts w:ascii="Arial" w:eastAsia="Arial" w:hAnsi="Arial" w:cs="Arial"/>
          <w:color w:val="010000"/>
          <w:sz w:val="20"/>
          <w:szCs w:val="20"/>
        </w:rPr>
      </w:pPr>
    </w:p>
    <w:sectPr w:rsidR="00BA0138" w:rsidRPr="00B0222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6EE"/>
    <w:multiLevelType w:val="hybridMultilevel"/>
    <w:tmpl w:val="0EB21622"/>
    <w:lvl w:ilvl="0" w:tplc="5FEC4428">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C6BA3"/>
    <w:multiLevelType w:val="multilevel"/>
    <w:tmpl w:val="5A2A950E"/>
    <w:lvl w:ilvl="0">
      <w:start w:val="1"/>
      <w:numFmt w:val="bullet"/>
      <w:lvlText w:val="-"/>
      <w:lvlJc w:val="left"/>
      <w:pPr>
        <w:ind w:left="0" w:firstLine="0"/>
      </w:pPr>
      <w:rPr>
        <w:rFonts w:ascii="Arial" w:eastAsia="Arial" w:hAnsi="Arial" w:cs="Arial"/>
        <w:b w:val="0"/>
        <w:i w:val="0"/>
        <w:smallCaps w:val="0"/>
        <w:strike w:val="0"/>
        <w:color w:val="3C28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DC83AEB"/>
    <w:multiLevelType w:val="multilevel"/>
    <w:tmpl w:val="095EDF38"/>
    <w:lvl w:ilvl="0">
      <w:start w:val="1"/>
      <w:numFmt w:val="bullet"/>
      <w:lvlText w:val="•"/>
      <w:lvlJc w:val="left"/>
      <w:pPr>
        <w:ind w:left="0" w:firstLine="0"/>
      </w:pPr>
      <w:rPr>
        <w:rFonts w:ascii="Arial" w:eastAsia="Arial" w:hAnsi="Arial" w:cs="Arial"/>
        <w:b w:val="0"/>
        <w:i w:val="0"/>
        <w:smallCaps w:val="0"/>
        <w:strike w:val="0"/>
        <w:color w:val="48464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38"/>
    <w:rsid w:val="000C230D"/>
    <w:rsid w:val="003B6039"/>
    <w:rsid w:val="004C6BF2"/>
    <w:rsid w:val="009A2F69"/>
    <w:rsid w:val="009D2427"/>
    <w:rsid w:val="00A63625"/>
    <w:rsid w:val="00B02227"/>
    <w:rsid w:val="00B326DC"/>
    <w:rsid w:val="00BA0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7F46"/>
  <w15:docId w15:val="{6DDA2564-6ADA-4C0B-B005-173A7155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B565A"/>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5B565A"/>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B565A"/>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B565A"/>
      <w:sz w:val="30"/>
      <w:szCs w:val="30"/>
      <w:u w:val="none"/>
    </w:rPr>
  </w:style>
  <w:style w:type="paragraph" w:styleId="BodyText">
    <w:name w:val="Body Text"/>
    <w:basedOn w:val="Normal"/>
    <w:link w:val="BodyTextChar"/>
    <w:qFormat/>
    <w:pPr>
      <w:shd w:val="clear" w:color="auto" w:fill="FFFFFF"/>
    </w:pPr>
    <w:rPr>
      <w:rFonts w:ascii="Times New Roman" w:eastAsia="Times New Roman" w:hAnsi="Times New Roman" w:cs="Times New Roman"/>
      <w:color w:val="5B565A"/>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i/>
      <w:iCs/>
      <w:color w:val="5B565A"/>
    </w:rPr>
  </w:style>
  <w:style w:type="paragraph" w:customStyle="1" w:styleId="Other0">
    <w:name w:val="Other"/>
    <w:basedOn w:val="Normal"/>
    <w:link w:val="Other"/>
    <w:pPr>
      <w:shd w:val="clear" w:color="auto" w:fill="FFFFFF"/>
    </w:pPr>
    <w:rPr>
      <w:rFonts w:ascii="Times New Roman" w:eastAsia="Times New Roman" w:hAnsi="Times New Roman" w:cs="Times New Roman"/>
      <w:color w:val="5B565A"/>
    </w:rPr>
  </w:style>
  <w:style w:type="paragraph" w:customStyle="1" w:styleId="Heading11">
    <w:name w:val="Heading #1"/>
    <w:basedOn w:val="Normal"/>
    <w:link w:val="Heading10"/>
    <w:pPr>
      <w:shd w:val="clear" w:color="auto" w:fill="FFFFFF"/>
      <w:spacing w:line="317" w:lineRule="auto"/>
      <w:jc w:val="center"/>
      <w:outlineLvl w:val="0"/>
    </w:pPr>
    <w:rPr>
      <w:rFonts w:ascii="Times New Roman" w:eastAsia="Times New Roman" w:hAnsi="Times New Roman" w:cs="Times New Roman"/>
      <w:b/>
      <w:bCs/>
      <w:color w:val="5B565A"/>
      <w:sz w:val="30"/>
      <w:szCs w:val="30"/>
    </w:rPr>
  </w:style>
  <w:style w:type="character" w:customStyle="1" w:styleId="Bodytext2">
    <w:name w:val="Body text (2)_"/>
    <w:basedOn w:val="DefaultParagraphFont"/>
    <w:link w:val="Bodytext20"/>
    <w:rsid w:val="006F334D"/>
    <w:rPr>
      <w:rFonts w:ascii="Times New Roman" w:eastAsia="Times New Roman" w:hAnsi="Times New Roman" w:cs="Times New Roman"/>
      <w:b/>
      <w:bCs/>
      <w:color w:val="596470"/>
      <w:sz w:val="54"/>
      <w:szCs w:val="54"/>
      <w:shd w:val="clear" w:color="auto" w:fill="FFFFFF"/>
    </w:rPr>
  </w:style>
  <w:style w:type="character" w:customStyle="1" w:styleId="Bodytext4">
    <w:name w:val="Body text (4)_"/>
    <w:basedOn w:val="DefaultParagraphFont"/>
    <w:link w:val="Bodytext40"/>
    <w:rsid w:val="006F334D"/>
    <w:rPr>
      <w:rFonts w:ascii="Times New Roman" w:eastAsia="Times New Roman" w:hAnsi="Times New Roman" w:cs="Times New Roman"/>
      <w:color w:val="6D605A"/>
      <w:sz w:val="68"/>
      <w:szCs w:val="68"/>
      <w:shd w:val="clear" w:color="auto" w:fill="FFFFFF"/>
    </w:rPr>
  </w:style>
  <w:style w:type="character" w:customStyle="1" w:styleId="Bodytext3">
    <w:name w:val="Body text (3)_"/>
    <w:basedOn w:val="DefaultParagraphFont"/>
    <w:link w:val="Bodytext30"/>
    <w:rsid w:val="006F334D"/>
    <w:rPr>
      <w:rFonts w:ascii="Arial" w:eastAsia="Arial" w:hAnsi="Arial" w:cs="Arial"/>
      <w:smallCaps/>
      <w:color w:val="EA6B85"/>
      <w:sz w:val="18"/>
      <w:szCs w:val="18"/>
      <w:u w:val="single"/>
      <w:shd w:val="clear" w:color="auto" w:fill="FFFFFF"/>
    </w:rPr>
  </w:style>
  <w:style w:type="paragraph" w:customStyle="1" w:styleId="Bodytext20">
    <w:name w:val="Body text (2)"/>
    <w:basedOn w:val="Normal"/>
    <w:link w:val="Bodytext2"/>
    <w:rsid w:val="006F334D"/>
    <w:pPr>
      <w:shd w:val="clear" w:color="auto" w:fill="FFFFFF"/>
      <w:spacing w:line="209" w:lineRule="auto"/>
    </w:pPr>
    <w:rPr>
      <w:rFonts w:ascii="Times New Roman" w:eastAsia="Times New Roman" w:hAnsi="Times New Roman" w:cs="Times New Roman"/>
      <w:b/>
      <w:bCs/>
      <w:color w:val="596470"/>
      <w:sz w:val="54"/>
      <w:szCs w:val="54"/>
    </w:rPr>
  </w:style>
  <w:style w:type="paragraph" w:customStyle="1" w:styleId="Bodytext40">
    <w:name w:val="Body text (4)"/>
    <w:basedOn w:val="Normal"/>
    <w:link w:val="Bodytext4"/>
    <w:rsid w:val="006F334D"/>
    <w:pPr>
      <w:shd w:val="clear" w:color="auto" w:fill="FFFFFF"/>
    </w:pPr>
    <w:rPr>
      <w:rFonts w:ascii="Times New Roman" w:eastAsia="Times New Roman" w:hAnsi="Times New Roman" w:cs="Times New Roman"/>
      <w:color w:val="6D605A"/>
      <w:sz w:val="68"/>
      <w:szCs w:val="68"/>
    </w:rPr>
  </w:style>
  <w:style w:type="paragraph" w:customStyle="1" w:styleId="Bodytext30">
    <w:name w:val="Body text (3)"/>
    <w:basedOn w:val="Normal"/>
    <w:link w:val="Bodytext3"/>
    <w:rsid w:val="006F334D"/>
    <w:pPr>
      <w:shd w:val="clear" w:color="auto" w:fill="FFFFFF"/>
      <w:jc w:val="right"/>
    </w:pPr>
    <w:rPr>
      <w:rFonts w:ascii="Arial" w:eastAsia="Arial" w:hAnsi="Arial" w:cs="Arial"/>
      <w:smallCaps/>
      <w:color w:val="EA6B85"/>
      <w:sz w:val="18"/>
      <w:szCs w:val="18"/>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4C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t8dRwsc7APjxA5Mb0LxWaUwb6A==">CgMxLjAyCGguZ2pkZ3hzOAByITE0YmNRTmpabGMwUVZHZGpSa1JLeUpETEo3YS10czFiSA==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2024-07-10T02:49:00Z</dcterms:created>
  <dcterms:modified xsi:type="dcterms:W3CDTF">2024-07-10T02:49:00Z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5ac0920582200b2849b91954fe97acf44ab795d1f60fa402064be08be73c7fce</vt:lpwstr>
  </property>
</Properties>
</file>