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6079F" w:rsidRPr="000A3411" w:rsidRDefault="008E43F4" w:rsidP="000A341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0A3411">
        <w:rPr>
          <w:rFonts w:ascii="Arial" w:hAnsi="Arial" w:cs="Arial"/>
          <w:b/>
          <w:color w:val="010000"/>
          <w:sz w:val="20"/>
        </w:rPr>
        <w:t>PNP: Board Decision</w:t>
      </w:r>
    </w:p>
    <w:p w14:paraId="00000002" w14:textId="577CD28A" w:rsidR="00C6079F" w:rsidRPr="000A3411" w:rsidRDefault="008E43F4" w:rsidP="000A341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A3411">
        <w:rPr>
          <w:rFonts w:ascii="Arial" w:hAnsi="Arial" w:cs="Arial"/>
          <w:color w:val="010000"/>
          <w:sz w:val="20"/>
        </w:rPr>
        <w:t xml:space="preserve">On July </w:t>
      </w:r>
      <w:r w:rsidR="000A3411" w:rsidRPr="000A3411">
        <w:rPr>
          <w:rFonts w:ascii="Arial" w:hAnsi="Arial" w:cs="Arial"/>
          <w:color w:val="010000"/>
          <w:sz w:val="20"/>
        </w:rPr>
        <w:t>0</w:t>
      </w:r>
      <w:r w:rsidRPr="000A3411">
        <w:rPr>
          <w:rFonts w:ascii="Arial" w:hAnsi="Arial" w:cs="Arial"/>
          <w:color w:val="010000"/>
          <w:sz w:val="20"/>
        </w:rPr>
        <w:t xml:space="preserve">5, 2024, Phu Huu – Newport Corporation announced Decision </w:t>
      </w:r>
      <w:r w:rsidR="002E3299" w:rsidRPr="000A3411">
        <w:rPr>
          <w:rFonts w:ascii="Arial" w:hAnsi="Arial" w:cs="Arial"/>
          <w:color w:val="010000"/>
          <w:sz w:val="20"/>
        </w:rPr>
        <w:t xml:space="preserve">No. </w:t>
      </w:r>
      <w:r w:rsidRPr="000A3411">
        <w:rPr>
          <w:rFonts w:ascii="Arial" w:hAnsi="Arial" w:cs="Arial"/>
          <w:color w:val="010000"/>
          <w:sz w:val="20"/>
        </w:rPr>
        <w:t xml:space="preserve">10/QD-HDQT on </w:t>
      </w:r>
      <w:r w:rsidR="000A3411" w:rsidRPr="000A3411">
        <w:rPr>
          <w:rFonts w:ascii="Arial" w:hAnsi="Arial" w:cs="Arial"/>
          <w:color w:val="010000"/>
          <w:sz w:val="20"/>
        </w:rPr>
        <w:t xml:space="preserve">approving </w:t>
      </w:r>
      <w:r w:rsidRPr="000A3411">
        <w:rPr>
          <w:rFonts w:ascii="Arial" w:hAnsi="Arial" w:cs="Arial"/>
          <w:color w:val="010000"/>
          <w:sz w:val="20"/>
        </w:rPr>
        <w:t xml:space="preserve">the Investment project to purchase 01 RTG 6+1 Crane, </w:t>
      </w:r>
      <w:r w:rsidR="000A3411" w:rsidRPr="000A3411">
        <w:rPr>
          <w:rFonts w:ascii="Arial" w:hAnsi="Arial" w:cs="Arial"/>
          <w:color w:val="010000"/>
          <w:sz w:val="20"/>
        </w:rPr>
        <w:t>Address</w:t>
      </w:r>
      <w:r w:rsidRPr="000A3411">
        <w:rPr>
          <w:rFonts w:ascii="Arial" w:hAnsi="Arial" w:cs="Arial"/>
          <w:color w:val="010000"/>
          <w:sz w:val="20"/>
        </w:rPr>
        <w:t>:</w:t>
      </w:r>
      <w:r w:rsidR="002E3299" w:rsidRPr="000A3411">
        <w:rPr>
          <w:rFonts w:ascii="Arial" w:hAnsi="Arial" w:cs="Arial"/>
          <w:color w:val="010000"/>
          <w:sz w:val="20"/>
        </w:rPr>
        <w:t xml:space="preserve"> </w:t>
      </w:r>
      <w:r w:rsidRPr="000A3411">
        <w:rPr>
          <w:rFonts w:ascii="Arial" w:hAnsi="Arial" w:cs="Arial"/>
          <w:color w:val="010000"/>
          <w:sz w:val="20"/>
        </w:rPr>
        <w:t>Phu Huu Ward, Thu Duc City, Ho Chi Minh City as follows:</w:t>
      </w:r>
    </w:p>
    <w:p w14:paraId="00000003" w14:textId="700849CF" w:rsidR="00C6079F" w:rsidRPr="000A3411" w:rsidRDefault="008E43F4" w:rsidP="000A341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A3411">
        <w:rPr>
          <w:rFonts w:ascii="Arial" w:hAnsi="Arial" w:cs="Arial"/>
          <w:color w:val="010000"/>
          <w:sz w:val="20"/>
        </w:rPr>
        <w:t xml:space="preserve">‎‎Article 1. Approve the Investment project to purchase 01 RTG 6+1 Crane at </w:t>
      </w:r>
      <w:r w:rsidR="000A3411" w:rsidRPr="000A3411">
        <w:rPr>
          <w:rFonts w:ascii="Arial" w:hAnsi="Arial" w:cs="Arial"/>
          <w:color w:val="010000"/>
          <w:sz w:val="20"/>
        </w:rPr>
        <w:t xml:space="preserve">Newport - </w:t>
      </w:r>
      <w:r w:rsidRPr="000A3411">
        <w:rPr>
          <w:rFonts w:ascii="Arial" w:hAnsi="Arial" w:cs="Arial"/>
          <w:color w:val="010000"/>
          <w:sz w:val="20"/>
        </w:rPr>
        <w:t xml:space="preserve">Phu Huu </w:t>
      </w:r>
      <w:r w:rsidR="000A3411" w:rsidRPr="000A3411">
        <w:rPr>
          <w:rFonts w:ascii="Arial" w:hAnsi="Arial" w:cs="Arial"/>
          <w:color w:val="010000"/>
          <w:sz w:val="20"/>
        </w:rPr>
        <w:t xml:space="preserve">Port </w:t>
      </w:r>
      <w:r w:rsidRPr="000A3411">
        <w:rPr>
          <w:rFonts w:ascii="Arial" w:hAnsi="Arial" w:cs="Arial"/>
          <w:color w:val="010000"/>
          <w:sz w:val="20"/>
        </w:rPr>
        <w:t>with the following main contents:</w:t>
      </w:r>
    </w:p>
    <w:p w14:paraId="00000004" w14:textId="51B44863" w:rsidR="00C6079F" w:rsidRPr="000A3411" w:rsidRDefault="008E43F4" w:rsidP="000A34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A3411">
        <w:rPr>
          <w:rFonts w:ascii="Arial" w:hAnsi="Arial" w:cs="Arial"/>
          <w:color w:val="010000"/>
          <w:sz w:val="20"/>
        </w:rPr>
        <w:t>Project name:</w:t>
      </w:r>
      <w:r w:rsidR="002E3299" w:rsidRPr="000A3411">
        <w:rPr>
          <w:rFonts w:ascii="Arial" w:hAnsi="Arial" w:cs="Arial"/>
          <w:color w:val="010000"/>
          <w:sz w:val="20"/>
        </w:rPr>
        <w:t xml:space="preserve"> </w:t>
      </w:r>
      <w:r w:rsidRPr="000A3411">
        <w:rPr>
          <w:rFonts w:ascii="Arial" w:hAnsi="Arial" w:cs="Arial"/>
          <w:color w:val="010000"/>
          <w:sz w:val="20"/>
        </w:rPr>
        <w:t xml:space="preserve">Investment project to purchase 01 RTG 6+1 Crane. </w:t>
      </w:r>
    </w:p>
    <w:p w14:paraId="00000005" w14:textId="77777777" w:rsidR="00C6079F" w:rsidRPr="000A3411" w:rsidRDefault="008E43F4" w:rsidP="000A34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  <w:tab w:val="left" w:pos="105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A3411">
        <w:rPr>
          <w:rFonts w:ascii="Arial" w:hAnsi="Arial" w:cs="Arial"/>
          <w:color w:val="010000"/>
          <w:sz w:val="20"/>
        </w:rPr>
        <w:t xml:space="preserve">The persons who decided to invest: The Board of Directors of Phu Huu – Newport Corporation. </w:t>
      </w:r>
    </w:p>
    <w:p w14:paraId="00000006" w14:textId="77777777" w:rsidR="00C6079F" w:rsidRPr="000A3411" w:rsidRDefault="008E43F4" w:rsidP="000A34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  <w:tab w:val="left" w:pos="10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A3411">
        <w:rPr>
          <w:rFonts w:ascii="Arial" w:hAnsi="Arial" w:cs="Arial"/>
          <w:color w:val="010000"/>
          <w:sz w:val="20"/>
        </w:rPr>
        <w:t xml:space="preserve">Investor: Phu Huu – Newport Corporation. </w:t>
      </w:r>
    </w:p>
    <w:p w14:paraId="00000007" w14:textId="4F8115C0" w:rsidR="00C6079F" w:rsidRPr="000A3411" w:rsidRDefault="008E43F4" w:rsidP="000A34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  <w:tab w:val="left" w:pos="109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A3411">
        <w:rPr>
          <w:rFonts w:ascii="Arial" w:hAnsi="Arial" w:cs="Arial"/>
          <w:color w:val="010000"/>
          <w:sz w:val="20"/>
        </w:rPr>
        <w:t>Investment targets and scale: Invest in purchasing 01 RTG 6+1 Crane to increase the port capacity, meet exploitation needs, increase output, exploitation efficiency</w:t>
      </w:r>
      <w:r w:rsidR="000A3411" w:rsidRPr="000A3411">
        <w:rPr>
          <w:rFonts w:ascii="Arial" w:hAnsi="Arial" w:cs="Arial"/>
          <w:color w:val="010000"/>
          <w:sz w:val="20"/>
        </w:rPr>
        <w:t>,</w:t>
      </w:r>
      <w:r w:rsidRPr="000A3411">
        <w:rPr>
          <w:rFonts w:ascii="Arial" w:hAnsi="Arial" w:cs="Arial"/>
          <w:color w:val="010000"/>
          <w:sz w:val="20"/>
        </w:rPr>
        <w:t xml:space="preserve"> and increase </w:t>
      </w:r>
      <w:r w:rsidR="000A3411" w:rsidRPr="000A3411">
        <w:rPr>
          <w:rFonts w:ascii="Arial" w:hAnsi="Arial" w:cs="Arial"/>
          <w:color w:val="010000"/>
          <w:sz w:val="20"/>
        </w:rPr>
        <w:t xml:space="preserve">the </w:t>
      </w:r>
      <w:r w:rsidRPr="000A3411">
        <w:rPr>
          <w:rFonts w:ascii="Arial" w:hAnsi="Arial" w:cs="Arial"/>
          <w:color w:val="010000"/>
          <w:sz w:val="20"/>
        </w:rPr>
        <w:t xml:space="preserve">service quality of the port, contributing to </w:t>
      </w:r>
      <w:r w:rsidR="000A3411" w:rsidRPr="000A3411">
        <w:rPr>
          <w:rFonts w:ascii="Arial" w:hAnsi="Arial" w:cs="Arial"/>
          <w:color w:val="010000"/>
          <w:sz w:val="20"/>
        </w:rPr>
        <w:t>minimizing</w:t>
      </w:r>
      <w:r w:rsidRPr="000A3411">
        <w:rPr>
          <w:rFonts w:ascii="Arial" w:hAnsi="Arial" w:cs="Arial"/>
          <w:color w:val="010000"/>
          <w:sz w:val="20"/>
        </w:rPr>
        <w:t xml:space="preserve"> the environmental pollution due to emissions and improving port competitiveness.</w:t>
      </w:r>
    </w:p>
    <w:p w14:paraId="00000008" w14:textId="06257FD1" w:rsidR="00C6079F" w:rsidRPr="000A3411" w:rsidRDefault="008E43F4" w:rsidP="000A34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  <w:tab w:val="left" w:pos="109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A3411">
        <w:rPr>
          <w:rFonts w:ascii="Arial" w:hAnsi="Arial" w:cs="Arial"/>
          <w:color w:val="010000"/>
          <w:sz w:val="20"/>
        </w:rPr>
        <w:t>Consulting organization to prepare Feasibility Study Report:</w:t>
      </w:r>
      <w:r w:rsidR="002E3299" w:rsidRPr="000A3411">
        <w:rPr>
          <w:rFonts w:ascii="Arial" w:hAnsi="Arial" w:cs="Arial"/>
          <w:color w:val="010000"/>
          <w:sz w:val="20"/>
        </w:rPr>
        <w:t xml:space="preserve"> </w:t>
      </w:r>
      <w:r w:rsidRPr="000A3411">
        <w:rPr>
          <w:rFonts w:ascii="Arial" w:hAnsi="Arial" w:cs="Arial"/>
          <w:color w:val="010000"/>
          <w:sz w:val="20"/>
        </w:rPr>
        <w:t>First Investment And Design Consultancy Joint Stock Company.</w:t>
      </w:r>
    </w:p>
    <w:p w14:paraId="00000009" w14:textId="77777777" w:rsidR="00C6079F" w:rsidRPr="000A3411" w:rsidRDefault="008E43F4" w:rsidP="000A34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  <w:tab w:val="left" w:pos="123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A3411">
        <w:rPr>
          <w:rFonts w:ascii="Arial" w:hAnsi="Arial" w:cs="Arial"/>
          <w:color w:val="010000"/>
          <w:sz w:val="20"/>
        </w:rPr>
        <w:t>Investment location: Phu Huu Ward, Thu Duc City, Ho Chi Minh City.</w:t>
      </w:r>
    </w:p>
    <w:p w14:paraId="0000000A" w14:textId="296D74CB" w:rsidR="00C6079F" w:rsidRPr="000A3411" w:rsidRDefault="008E43F4" w:rsidP="000A34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  <w:tab w:val="left" w:pos="123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A3411">
        <w:rPr>
          <w:rFonts w:ascii="Arial" w:hAnsi="Arial" w:cs="Arial"/>
          <w:color w:val="010000"/>
          <w:sz w:val="20"/>
        </w:rPr>
        <w:t>Project group:</w:t>
      </w:r>
      <w:r w:rsidR="000A3411" w:rsidRPr="000A3411">
        <w:rPr>
          <w:rFonts w:ascii="Arial" w:hAnsi="Arial" w:cs="Arial"/>
          <w:color w:val="010000"/>
          <w:sz w:val="20"/>
        </w:rPr>
        <w:t xml:space="preserve"> Group C project, project</w:t>
      </w:r>
      <w:r w:rsidRPr="000A3411">
        <w:rPr>
          <w:rFonts w:ascii="Arial" w:hAnsi="Arial" w:cs="Arial"/>
          <w:color w:val="010000"/>
          <w:sz w:val="20"/>
        </w:rPr>
        <w:t xml:space="preserve"> without construction components.</w:t>
      </w:r>
    </w:p>
    <w:p w14:paraId="0000000B" w14:textId="453432CA" w:rsidR="00C6079F" w:rsidRPr="000A3411" w:rsidRDefault="008E43F4" w:rsidP="000A34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  <w:tab w:val="left" w:pos="109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A3411">
        <w:rPr>
          <w:rFonts w:ascii="Arial" w:hAnsi="Arial" w:cs="Arial"/>
          <w:color w:val="010000"/>
          <w:sz w:val="20"/>
        </w:rPr>
        <w:t>Total investment value:</w:t>
      </w:r>
      <w:r w:rsidR="002E3299" w:rsidRPr="000A3411">
        <w:rPr>
          <w:rFonts w:ascii="Arial" w:hAnsi="Arial" w:cs="Arial"/>
          <w:color w:val="010000"/>
          <w:sz w:val="20"/>
        </w:rPr>
        <w:t xml:space="preserve"> </w:t>
      </w:r>
      <w:r w:rsidRPr="000A3411">
        <w:rPr>
          <w:rFonts w:ascii="Arial" w:hAnsi="Arial" w:cs="Arial"/>
          <w:color w:val="010000"/>
          <w:sz w:val="20"/>
        </w:rPr>
        <w:t>VND49,395,659,000. In which:</w:t>
      </w:r>
    </w:p>
    <w:p w14:paraId="0000000C" w14:textId="77777777" w:rsidR="00C6079F" w:rsidRPr="000A3411" w:rsidRDefault="008E43F4" w:rsidP="000A34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8"/>
          <w:tab w:val="left" w:pos="432"/>
          <w:tab w:val="left" w:pos="630"/>
          <w:tab w:val="right" w:pos="4018"/>
          <w:tab w:val="right" w:pos="6617"/>
          <w:tab w:val="right" w:pos="742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A3411">
        <w:rPr>
          <w:rFonts w:ascii="Arial" w:hAnsi="Arial" w:cs="Arial"/>
          <w:color w:val="010000"/>
          <w:sz w:val="20"/>
        </w:rPr>
        <w:t xml:space="preserve">Equipment expense: </w:t>
      </w:r>
      <w:r w:rsidRPr="000A3411">
        <w:rPr>
          <w:rFonts w:ascii="Arial" w:hAnsi="Arial" w:cs="Arial"/>
          <w:color w:val="010000"/>
          <w:sz w:val="20"/>
        </w:rPr>
        <w:tab/>
        <w:t>VND47,000,000,000;</w:t>
      </w:r>
    </w:p>
    <w:p w14:paraId="0000000D" w14:textId="5A1A831D" w:rsidR="00C6079F" w:rsidRPr="000A3411" w:rsidRDefault="008E43F4" w:rsidP="000A34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4"/>
          <w:tab w:val="left" w:pos="432"/>
          <w:tab w:val="left" w:pos="630"/>
          <w:tab w:val="right" w:pos="6620"/>
          <w:tab w:val="right" w:pos="742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A3411">
        <w:rPr>
          <w:rFonts w:ascii="Arial" w:hAnsi="Arial" w:cs="Arial"/>
          <w:color w:val="010000"/>
          <w:sz w:val="20"/>
        </w:rPr>
        <w:t>Construction investment consulting expenses:</w:t>
      </w:r>
      <w:r w:rsidR="000A3411" w:rsidRPr="000A3411">
        <w:rPr>
          <w:rFonts w:ascii="Arial" w:hAnsi="Arial" w:cs="Arial"/>
          <w:color w:val="010000"/>
          <w:sz w:val="20"/>
        </w:rPr>
        <w:t xml:space="preserve">  </w:t>
      </w:r>
      <w:r w:rsidRPr="000A3411">
        <w:rPr>
          <w:rFonts w:ascii="Arial" w:hAnsi="Arial" w:cs="Arial"/>
          <w:color w:val="010000"/>
          <w:sz w:val="20"/>
        </w:rPr>
        <w:t>VND343,139,000;</w:t>
      </w:r>
    </w:p>
    <w:p w14:paraId="0000000E" w14:textId="4770CB8D" w:rsidR="00C6079F" w:rsidRPr="000A3411" w:rsidRDefault="008E43F4" w:rsidP="000A34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4"/>
          <w:tab w:val="left" w:pos="432"/>
          <w:tab w:val="left" w:pos="630"/>
          <w:tab w:val="right" w:pos="4025"/>
          <w:tab w:val="right" w:pos="6624"/>
          <w:tab w:val="right" w:pos="742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A3411">
        <w:rPr>
          <w:rFonts w:ascii="Arial" w:hAnsi="Arial" w:cs="Arial"/>
          <w:color w:val="010000"/>
          <w:sz w:val="20"/>
        </w:rPr>
        <w:t>Other expenses:</w:t>
      </w:r>
      <w:r w:rsidR="000A3411" w:rsidRPr="000A3411">
        <w:rPr>
          <w:rFonts w:ascii="Arial" w:hAnsi="Arial" w:cs="Arial"/>
          <w:color w:val="010000"/>
          <w:sz w:val="20"/>
        </w:rPr>
        <w:t xml:space="preserve">  </w:t>
      </w:r>
      <w:r w:rsidRPr="000A3411">
        <w:rPr>
          <w:rFonts w:ascii="Arial" w:hAnsi="Arial" w:cs="Arial"/>
          <w:color w:val="010000"/>
          <w:sz w:val="20"/>
        </w:rPr>
        <w:t>VND847,748,000;</w:t>
      </w:r>
    </w:p>
    <w:p w14:paraId="0000000F" w14:textId="77777777" w:rsidR="00C6079F" w:rsidRPr="000A3411" w:rsidRDefault="008E43F4" w:rsidP="000A34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"/>
          <w:tab w:val="left" w:pos="432"/>
          <w:tab w:val="left" w:pos="630"/>
          <w:tab w:val="right" w:pos="4032"/>
          <w:tab w:val="right" w:pos="6631"/>
          <w:tab w:val="right" w:pos="741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A3411">
        <w:rPr>
          <w:rFonts w:ascii="Arial" w:hAnsi="Arial" w:cs="Arial"/>
          <w:color w:val="010000"/>
          <w:sz w:val="20"/>
        </w:rPr>
        <w:t>Preservation expense:</w:t>
      </w:r>
      <w:r w:rsidRPr="000A3411">
        <w:rPr>
          <w:rFonts w:ascii="Arial" w:hAnsi="Arial" w:cs="Arial"/>
          <w:color w:val="010000"/>
          <w:sz w:val="20"/>
        </w:rPr>
        <w:tab/>
        <w:t xml:space="preserve">VND1,204,772,000. </w:t>
      </w:r>
    </w:p>
    <w:p w14:paraId="00000010" w14:textId="77777777" w:rsidR="00C6079F" w:rsidRPr="000A3411" w:rsidRDefault="008E43F4" w:rsidP="000A34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  <w:tab w:val="left" w:pos="111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A3411">
        <w:rPr>
          <w:rFonts w:ascii="Arial" w:hAnsi="Arial" w:cs="Arial"/>
          <w:color w:val="010000"/>
          <w:sz w:val="20"/>
        </w:rPr>
        <w:t>Project implementation time: In 2024-2025.</w:t>
      </w:r>
    </w:p>
    <w:p w14:paraId="00000011" w14:textId="77777777" w:rsidR="00C6079F" w:rsidRPr="000A3411" w:rsidRDefault="008E43F4" w:rsidP="000A34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  <w:tab w:val="left" w:pos="122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A3411">
        <w:rPr>
          <w:rFonts w:ascii="Arial" w:hAnsi="Arial" w:cs="Arial"/>
          <w:color w:val="010000"/>
          <w:sz w:val="20"/>
        </w:rPr>
        <w:t>Source of investment capital: Owner’s equity and commercial loans.</w:t>
      </w:r>
    </w:p>
    <w:p w14:paraId="00000012" w14:textId="77777777" w:rsidR="00C6079F" w:rsidRPr="000A3411" w:rsidRDefault="008E43F4" w:rsidP="000A34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  <w:tab w:val="left" w:pos="122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A3411">
        <w:rPr>
          <w:rFonts w:ascii="Arial" w:hAnsi="Arial" w:cs="Arial"/>
          <w:color w:val="010000"/>
          <w:sz w:val="20"/>
        </w:rPr>
        <w:t>Method of project management: The investor directly manages the project.</w:t>
      </w:r>
    </w:p>
    <w:p w14:paraId="00000013" w14:textId="77777777" w:rsidR="00C6079F" w:rsidRPr="000A3411" w:rsidRDefault="008E43F4" w:rsidP="000A341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A3411">
        <w:rPr>
          <w:rFonts w:ascii="Arial" w:hAnsi="Arial" w:cs="Arial"/>
          <w:color w:val="010000"/>
          <w:sz w:val="20"/>
        </w:rPr>
        <w:t>‎‎Article 2. Implementation and organization:</w:t>
      </w:r>
    </w:p>
    <w:p w14:paraId="00000014" w14:textId="529C5A8E" w:rsidR="00C6079F" w:rsidRPr="000A3411" w:rsidRDefault="008E43F4" w:rsidP="000A341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  <w:tab w:val="left" w:pos="3298"/>
          <w:tab w:val="left" w:pos="7333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0A3411">
        <w:rPr>
          <w:rFonts w:ascii="Arial" w:hAnsi="Arial" w:cs="Arial"/>
          <w:color w:val="010000"/>
          <w:sz w:val="20"/>
        </w:rPr>
        <w:t>Assign the Investor to be responsible for implementing the following procedures to ensure compliance with the right order and provisions of the law, in accordance with the capital plan</w:t>
      </w:r>
      <w:r w:rsidR="000A3411" w:rsidRPr="000A3411">
        <w:rPr>
          <w:rFonts w:ascii="Arial" w:hAnsi="Arial" w:cs="Arial"/>
          <w:color w:val="010000"/>
          <w:sz w:val="20"/>
        </w:rPr>
        <w:t>,</w:t>
      </w:r>
      <w:r w:rsidRPr="000A3411">
        <w:rPr>
          <w:rFonts w:ascii="Arial" w:hAnsi="Arial" w:cs="Arial"/>
          <w:color w:val="010000"/>
          <w:sz w:val="20"/>
        </w:rPr>
        <w:t xml:space="preserve"> and ensuring progress, quality</w:t>
      </w:r>
      <w:r w:rsidR="000A3411" w:rsidRPr="000A3411">
        <w:rPr>
          <w:rFonts w:ascii="Arial" w:hAnsi="Arial" w:cs="Arial"/>
          <w:color w:val="010000"/>
          <w:sz w:val="20"/>
        </w:rPr>
        <w:t>,</w:t>
      </w:r>
      <w:r w:rsidRPr="000A3411">
        <w:rPr>
          <w:rFonts w:ascii="Arial" w:hAnsi="Arial" w:cs="Arial"/>
          <w:color w:val="010000"/>
          <w:sz w:val="20"/>
        </w:rPr>
        <w:t xml:space="preserve"> and investment efficiency</w:t>
      </w:r>
      <w:r w:rsidR="002E3299" w:rsidRPr="000A3411">
        <w:rPr>
          <w:rFonts w:ascii="Arial" w:hAnsi="Arial" w:cs="Arial"/>
          <w:color w:val="010000"/>
          <w:sz w:val="20"/>
        </w:rPr>
        <w:t>.</w:t>
      </w:r>
      <w:r w:rsidRPr="000A3411">
        <w:rPr>
          <w:rFonts w:ascii="Arial" w:hAnsi="Arial" w:cs="Arial"/>
          <w:color w:val="010000"/>
          <w:sz w:val="20"/>
        </w:rPr>
        <w:tab/>
      </w:r>
    </w:p>
    <w:p w14:paraId="00000015" w14:textId="151DC2EA" w:rsidR="00C6079F" w:rsidRPr="000A3411" w:rsidRDefault="008E43F4" w:rsidP="000A341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0A3411">
        <w:rPr>
          <w:rFonts w:ascii="Arial" w:hAnsi="Arial" w:cs="Arial"/>
          <w:color w:val="010000"/>
          <w:sz w:val="20"/>
        </w:rPr>
        <w:t>Assign the 01 RTG 6+1 Crane Investment Project Team of the Company, based on assigned functions and tasks, is responsible for coordinating with the Investor to implement work and procedures according to regulations.</w:t>
      </w:r>
    </w:p>
    <w:p w14:paraId="00000016" w14:textId="64A6990D" w:rsidR="00C6079F" w:rsidRPr="000A3411" w:rsidRDefault="008E43F4" w:rsidP="000A341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A3411">
        <w:rPr>
          <w:rFonts w:ascii="Arial" w:hAnsi="Arial" w:cs="Arial"/>
          <w:color w:val="010000"/>
          <w:sz w:val="20"/>
        </w:rPr>
        <w:t xml:space="preserve">‎‎Article 3. This Decision takes effect from the date of its signing. The Company’s Manager, the 01 RTG </w:t>
      </w:r>
      <w:r w:rsidRPr="000A3411">
        <w:rPr>
          <w:rFonts w:ascii="Arial" w:hAnsi="Arial" w:cs="Arial"/>
          <w:color w:val="010000"/>
          <w:sz w:val="20"/>
        </w:rPr>
        <w:lastRenderedPageBreak/>
        <w:t>6+1 Crane Investment Project Team, the Chief Accountant</w:t>
      </w:r>
      <w:r w:rsidR="000A3411" w:rsidRPr="000A3411">
        <w:rPr>
          <w:rFonts w:ascii="Arial" w:hAnsi="Arial" w:cs="Arial"/>
          <w:color w:val="010000"/>
          <w:sz w:val="20"/>
        </w:rPr>
        <w:t>,</w:t>
      </w:r>
      <w:r w:rsidRPr="000A3411">
        <w:rPr>
          <w:rFonts w:ascii="Arial" w:hAnsi="Arial" w:cs="Arial"/>
          <w:color w:val="010000"/>
          <w:sz w:val="20"/>
        </w:rPr>
        <w:t xml:space="preserve"> and relevant </w:t>
      </w:r>
      <w:r w:rsidR="000A3411" w:rsidRPr="000A3411">
        <w:rPr>
          <w:rFonts w:ascii="Arial" w:hAnsi="Arial" w:cs="Arial"/>
          <w:color w:val="010000"/>
          <w:sz w:val="20"/>
        </w:rPr>
        <w:t>unit</w:t>
      </w:r>
      <w:r w:rsidRPr="000A3411">
        <w:rPr>
          <w:rFonts w:ascii="Arial" w:hAnsi="Arial" w:cs="Arial"/>
          <w:color w:val="010000"/>
          <w:sz w:val="20"/>
        </w:rPr>
        <w:t>, individuals are responsible for implementing this Decision./.</w:t>
      </w:r>
    </w:p>
    <w:sectPr w:rsidR="00C6079F" w:rsidRPr="000A3411" w:rsidSect="002E3299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20CA5"/>
    <w:multiLevelType w:val="hybridMultilevel"/>
    <w:tmpl w:val="CA7440D4"/>
    <w:lvl w:ilvl="0" w:tplc="FAD8C89E">
      <w:start w:val="1"/>
      <w:numFmt w:val="decimal"/>
      <w:lvlText w:val="%1."/>
      <w:lvlJc w:val="left"/>
      <w:pPr>
        <w:ind w:left="720" w:hanging="360"/>
      </w:pPr>
      <w:rPr>
        <w:rFonts w:eastAsia="Courier New" w:cs="Courier New" w:hint="default"/>
        <w:b w:val="0"/>
        <w:i w:val="0"/>
        <w:sz w:val="20"/>
      </w:rPr>
    </w:lvl>
    <w:lvl w:ilvl="1" w:tplc="CCD0F994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91281628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B1BF5"/>
    <w:multiLevelType w:val="multilevel"/>
    <w:tmpl w:val="B596E32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65B3FA1"/>
    <w:multiLevelType w:val="multilevel"/>
    <w:tmpl w:val="11A06CF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9F"/>
    <w:rsid w:val="000A3411"/>
    <w:rsid w:val="002E3299"/>
    <w:rsid w:val="00473988"/>
    <w:rsid w:val="005E36EE"/>
    <w:rsid w:val="008E43F4"/>
    <w:rsid w:val="009C3EC3"/>
    <w:rsid w:val="00C6079F"/>
    <w:rsid w:val="00DE280C"/>
    <w:rsid w:val="00ED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6E0920"/>
  <w15:docId w15:val="{C3B43121-1B37-47CD-B9E6-5148542C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76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40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Heading11">
    <w:name w:val="Heading #1"/>
    <w:basedOn w:val="Normal"/>
    <w:link w:val="Heading10"/>
    <w:pPr>
      <w:spacing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B25A0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E2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huFB5yZkEfrCpX9pj6wGRyA4EQ==">CgMxLjA4AHIhMUxDRVlkVTJZSkV4bWFoRGctTllFNERXSUhxdGc1d0hl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2024-07-10T03:43:00Z</dcterms:created>
  <dcterms:modified xsi:type="dcterms:W3CDTF">2024-07-10T03:43:00Z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8854bfb00d24a2e123a68c3bd55a514d5c0d248ca56f59ef730c0a22bf87fbf3</vt:lpwstr>
  </property>
</Properties>
</file>