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00" w:rsidRPr="000B1705" w:rsidRDefault="00D70E10" w:rsidP="00B916C1">
      <w:pPr>
        <w:widowControl/>
        <w:pBdr>
          <w:top w:val="nil"/>
          <w:left w:val="nil"/>
          <w:bottom w:val="nil"/>
          <w:right w:val="nil"/>
          <w:between w:val="nil"/>
        </w:pBdr>
        <w:tabs>
          <w:tab w:val="left" w:pos="432"/>
          <w:tab w:val="left" w:pos="540"/>
        </w:tabs>
        <w:spacing w:after="120" w:line="360" w:lineRule="auto"/>
        <w:rPr>
          <w:rFonts w:ascii="Arial" w:eastAsia="Arial" w:hAnsi="Arial" w:cs="Arial"/>
          <w:b/>
          <w:color w:val="010000"/>
          <w:sz w:val="20"/>
          <w:szCs w:val="20"/>
        </w:rPr>
      </w:pPr>
      <w:bookmarkStart w:id="0" w:name="_GoBack"/>
      <w:bookmarkEnd w:id="0"/>
      <w:r w:rsidRPr="000B1705">
        <w:rPr>
          <w:rFonts w:ascii="Arial" w:hAnsi="Arial" w:cs="Arial"/>
          <w:b/>
          <w:color w:val="010000"/>
          <w:sz w:val="20"/>
        </w:rPr>
        <w:t>QNS: Board Resolution</w:t>
      </w:r>
    </w:p>
    <w:p w:rsidR="00991600" w:rsidRPr="000B1705" w:rsidRDefault="00D70E10" w:rsidP="00B916C1">
      <w:pPr>
        <w:widowControl/>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On July 4, 2024, Quang Ngai Sugar Joint Stock Company announced Resolution </w:t>
      </w:r>
      <w:r w:rsidR="0050319D" w:rsidRPr="000B1705">
        <w:rPr>
          <w:rFonts w:ascii="Arial" w:hAnsi="Arial" w:cs="Arial"/>
          <w:color w:val="010000"/>
          <w:sz w:val="20"/>
        </w:rPr>
        <w:t xml:space="preserve">No. </w:t>
      </w:r>
      <w:r w:rsidRPr="000B1705">
        <w:rPr>
          <w:rFonts w:ascii="Arial" w:hAnsi="Arial" w:cs="Arial"/>
          <w:color w:val="010000"/>
          <w:sz w:val="20"/>
        </w:rPr>
        <w:t>30/NQ/QNS-HDQT as follows:</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‎‎Article 1. Approve the project "Investment to expand </w:t>
      </w:r>
      <w:r w:rsidR="00F1118D" w:rsidRPr="000B1705">
        <w:rPr>
          <w:rFonts w:ascii="Arial" w:hAnsi="Arial" w:cs="Arial"/>
          <w:color w:val="010000"/>
          <w:sz w:val="20"/>
        </w:rPr>
        <w:t xml:space="preserve">the </w:t>
      </w:r>
      <w:r w:rsidRPr="000B1705">
        <w:rPr>
          <w:rFonts w:ascii="Arial" w:hAnsi="Arial" w:cs="Arial"/>
          <w:color w:val="010000"/>
          <w:sz w:val="20"/>
        </w:rPr>
        <w:t xml:space="preserve">capacity of </w:t>
      </w:r>
      <w:r w:rsidR="00F1118D" w:rsidRPr="000B1705">
        <w:rPr>
          <w:rFonts w:ascii="Arial" w:hAnsi="Arial" w:cs="Arial"/>
          <w:color w:val="010000"/>
          <w:sz w:val="20"/>
        </w:rPr>
        <w:t xml:space="preserve">the </w:t>
      </w:r>
      <w:r w:rsidRPr="000B1705">
        <w:rPr>
          <w:rFonts w:ascii="Arial" w:hAnsi="Arial" w:cs="Arial"/>
          <w:color w:val="010000"/>
          <w:sz w:val="20"/>
        </w:rPr>
        <w:t xml:space="preserve">sugarcane processing system to 25,000 </w:t>
      </w:r>
      <w:r w:rsidR="00F1118D" w:rsidRPr="000B1705">
        <w:rPr>
          <w:rFonts w:ascii="Arial" w:hAnsi="Arial" w:cs="Arial"/>
          <w:color w:val="010000"/>
          <w:sz w:val="20"/>
        </w:rPr>
        <w:t>tons per day</w:t>
      </w:r>
      <w:r w:rsidRPr="000B1705">
        <w:rPr>
          <w:rFonts w:ascii="Arial" w:hAnsi="Arial" w:cs="Arial"/>
          <w:color w:val="010000"/>
          <w:sz w:val="20"/>
        </w:rPr>
        <w:t xml:space="preserve"> at Nhà máy đường An Khê (tentatively translated as An Khe Sugar Factory)" with the following main contents:</w:t>
      </w:r>
    </w:p>
    <w:p w:rsidR="00991600" w:rsidRPr="000B1705" w:rsidRDefault="00D70E10" w:rsidP="00B916C1">
      <w:pPr>
        <w:keepNext/>
        <w:numPr>
          <w:ilvl w:val="0"/>
          <w:numId w:val="4"/>
        </w:numPr>
        <w:pBdr>
          <w:top w:val="nil"/>
          <w:left w:val="nil"/>
          <w:bottom w:val="nil"/>
          <w:right w:val="nil"/>
          <w:between w:val="nil"/>
        </w:pBdr>
        <w:tabs>
          <w:tab w:val="left" w:pos="432"/>
          <w:tab w:val="left" w:pos="540"/>
          <w:tab w:val="left" w:pos="896"/>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Project name: Investment to expand the capacity of </w:t>
      </w:r>
      <w:r w:rsidR="00F1118D" w:rsidRPr="000B1705">
        <w:rPr>
          <w:rFonts w:ascii="Arial" w:hAnsi="Arial" w:cs="Arial"/>
          <w:color w:val="010000"/>
          <w:sz w:val="20"/>
        </w:rPr>
        <w:t xml:space="preserve">the </w:t>
      </w:r>
      <w:r w:rsidRPr="000B1705">
        <w:rPr>
          <w:rFonts w:ascii="Arial" w:hAnsi="Arial" w:cs="Arial"/>
          <w:color w:val="010000"/>
          <w:sz w:val="20"/>
        </w:rPr>
        <w:t xml:space="preserve">sugarcane processing system to 25,000 </w:t>
      </w:r>
      <w:r w:rsidR="00F1118D" w:rsidRPr="000B1705">
        <w:rPr>
          <w:rFonts w:ascii="Arial" w:hAnsi="Arial" w:cs="Arial"/>
          <w:color w:val="010000"/>
          <w:sz w:val="20"/>
        </w:rPr>
        <w:t>tons per day</w:t>
      </w:r>
      <w:r w:rsidRPr="000B1705">
        <w:rPr>
          <w:rFonts w:ascii="Arial" w:hAnsi="Arial" w:cs="Arial"/>
          <w:color w:val="010000"/>
          <w:sz w:val="20"/>
        </w:rPr>
        <w:t xml:space="preserve"> at An Khe Sugar Factory</w:t>
      </w:r>
    </w:p>
    <w:p w:rsidR="00991600" w:rsidRPr="000B1705" w:rsidRDefault="00D70E10" w:rsidP="00B916C1">
      <w:pPr>
        <w:numPr>
          <w:ilvl w:val="0"/>
          <w:numId w:val="4"/>
        </w:numPr>
        <w:pBdr>
          <w:top w:val="nil"/>
          <w:left w:val="nil"/>
          <w:bottom w:val="nil"/>
          <w:right w:val="nil"/>
          <w:between w:val="nil"/>
        </w:pBdr>
        <w:tabs>
          <w:tab w:val="left" w:pos="432"/>
          <w:tab w:val="left" w:pos="540"/>
          <w:tab w:val="left" w:pos="873"/>
        </w:tabs>
        <w:spacing w:after="120" w:line="360" w:lineRule="auto"/>
        <w:rPr>
          <w:rFonts w:ascii="Arial" w:eastAsia="Arial" w:hAnsi="Arial" w:cs="Arial"/>
          <w:color w:val="010000"/>
          <w:sz w:val="20"/>
          <w:szCs w:val="20"/>
        </w:rPr>
      </w:pPr>
      <w:r w:rsidRPr="000B1705">
        <w:rPr>
          <w:rFonts w:ascii="Arial" w:hAnsi="Arial" w:cs="Arial"/>
          <w:color w:val="010000"/>
          <w:sz w:val="20"/>
        </w:rPr>
        <w:t>Investment location: Thanh An Commune - An Khe Town - Gia Lai Province</w:t>
      </w:r>
    </w:p>
    <w:p w:rsidR="00991600" w:rsidRPr="000B1705" w:rsidRDefault="00D70E10" w:rsidP="00B916C1">
      <w:pPr>
        <w:numPr>
          <w:ilvl w:val="0"/>
          <w:numId w:val="4"/>
        </w:numPr>
        <w:pBdr>
          <w:top w:val="nil"/>
          <w:left w:val="nil"/>
          <w:bottom w:val="nil"/>
          <w:right w:val="nil"/>
          <w:between w:val="nil"/>
        </w:pBdr>
        <w:tabs>
          <w:tab w:val="left" w:pos="432"/>
          <w:tab w:val="left" w:pos="540"/>
          <w:tab w:val="left" w:pos="906"/>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Investment scale: Invest to expand the capacity of the sugarcane processing system at An Khe Sugar Factory to a capacity of 25,000 </w:t>
      </w:r>
      <w:r w:rsidR="00F1118D" w:rsidRPr="000B1705">
        <w:rPr>
          <w:rFonts w:ascii="Arial" w:hAnsi="Arial" w:cs="Arial"/>
          <w:color w:val="010000"/>
          <w:sz w:val="20"/>
        </w:rPr>
        <w:t>tons per day</w:t>
      </w:r>
      <w:r w:rsidRPr="000B1705">
        <w:rPr>
          <w:rFonts w:ascii="Arial" w:hAnsi="Arial" w:cs="Arial"/>
          <w:color w:val="010000"/>
          <w:sz w:val="20"/>
        </w:rPr>
        <w:t>, producing about 3,000 tons of sugar/day</w:t>
      </w:r>
    </w:p>
    <w:p w:rsidR="00991600" w:rsidRPr="000B1705" w:rsidRDefault="00D70E10" w:rsidP="00B916C1">
      <w:pPr>
        <w:keepNext/>
        <w:numPr>
          <w:ilvl w:val="0"/>
          <w:numId w:val="4"/>
        </w:numPr>
        <w:pBdr>
          <w:top w:val="nil"/>
          <w:left w:val="nil"/>
          <w:bottom w:val="nil"/>
          <w:right w:val="nil"/>
          <w:between w:val="nil"/>
        </w:pBdr>
        <w:tabs>
          <w:tab w:val="left" w:pos="432"/>
          <w:tab w:val="left" w:pos="540"/>
          <w:tab w:val="left" w:pos="913"/>
        </w:tabs>
        <w:spacing w:after="120" w:line="360" w:lineRule="auto"/>
        <w:rPr>
          <w:rFonts w:ascii="Arial" w:eastAsia="Arial" w:hAnsi="Arial" w:cs="Arial"/>
          <w:color w:val="010000"/>
          <w:sz w:val="20"/>
          <w:szCs w:val="20"/>
        </w:rPr>
      </w:pPr>
      <w:r w:rsidRPr="000B1705">
        <w:rPr>
          <w:rFonts w:ascii="Arial" w:hAnsi="Arial" w:cs="Arial"/>
          <w:color w:val="010000"/>
          <w:sz w:val="20"/>
        </w:rPr>
        <w:t>Investment purpose:</w:t>
      </w:r>
    </w:p>
    <w:p w:rsidR="00991600" w:rsidRPr="000B1705" w:rsidRDefault="00D70E10" w:rsidP="00B916C1">
      <w:pPr>
        <w:numPr>
          <w:ilvl w:val="0"/>
          <w:numId w:val="5"/>
        </w:numPr>
        <w:pBdr>
          <w:top w:val="nil"/>
          <w:left w:val="nil"/>
          <w:bottom w:val="nil"/>
          <w:right w:val="nil"/>
          <w:between w:val="nil"/>
        </w:pBdr>
        <w:tabs>
          <w:tab w:val="left" w:pos="432"/>
          <w:tab w:val="left" w:pos="540"/>
          <w:tab w:val="left" w:pos="795"/>
        </w:tabs>
        <w:spacing w:after="120" w:line="360" w:lineRule="auto"/>
        <w:rPr>
          <w:rFonts w:ascii="Arial" w:eastAsia="Arial" w:hAnsi="Arial" w:cs="Arial"/>
          <w:color w:val="010000"/>
          <w:sz w:val="20"/>
          <w:szCs w:val="20"/>
        </w:rPr>
      </w:pPr>
      <w:r w:rsidRPr="000B1705">
        <w:rPr>
          <w:rFonts w:ascii="Arial" w:hAnsi="Arial" w:cs="Arial"/>
          <w:color w:val="010000"/>
          <w:sz w:val="20"/>
        </w:rPr>
        <w:t>Effectively exploit agricultural land areas in 4 districts of Dong Gia Lai Town; develop stable and sustainable sugarcane raw material areas; create a premise for deep exploitation and processing activities of agricultural raw materials in the area.</w:t>
      </w:r>
    </w:p>
    <w:p w:rsidR="00991600" w:rsidRPr="000B1705" w:rsidRDefault="00D70E10" w:rsidP="00B916C1">
      <w:pPr>
        <w:numPr>
          <w:ilvl w:val="0"/>
          <w:numId w:val="5"/>
        </w:numPr>
        <w:pBdr>
          <w:top w:val="nil"/>
          <w:left w:val="nil"/>
          <w:bottom w:val="nil"/>
          <w:right w:val="nil"/>
          <w:between w:val="nil"/>
        </w:pBdr>
        <w:tabs>
          <w:tab w:val="left" w:pos="432"/>
          <w:tab w:val="left" w:pos="540"/>
          <w:tab w:val="left" w:pos="805"/>
        </w:tabs>
        <w:spacing w:after="120" w:line="360" w:lineRule="auto"/>
        <w:rPr>
          <w:rFonts w:ascii="Arial" w:eastAsia="Arial" w:hAnsi="Arial" w:cs="Arial"/>
          <w:color w:val="010000"/>
          <w:sz w:val="20"/>
          <w:szCs w:val="20"/>
        </w:rPr>
      </w:pPr>
      <w:r w:rsidRPr="000B1705">
        <w:rPr>
          <w:rFonts w:ascii="Arial" w:hAnsi="Arial" w:cs="Arial"/>
          <w:color w:val="010000"/>
          <w:sz w:val="20"/>
        </w:rPr>
        <w:t>Meet the sugarcane consumption needs of farmers on time, constantly increasing farmers' income, and contributing to socio-economic development in the area.</w:t>
      </w:r>
    </w:p>
    <w:p w:rsidR="00991600" w:rsidRPr="000B1705" w:rsidRDefault="00D70E10" w:rsidP="00B916C1">
      <w:pPr>
        <w:numPr>
          <w:ilvl w:val="0"/>
          <w:numId w:val="5"/>
        </w:numPr>
        <w:pBdr>
          <w:top w:val="nil"/>
          <w:left w:val="nil"/>
          <w:bottom w:val="nil"/>
          <w:right w:val="nil"/>
          <w:between w:val="nil"/>
        </w:pBdr>
        <w:tabs>
          <w:tab w:val="left" w:pos="432"/>
          <w:tab w:val="left" w:pos="540"/>
          <w:tab w:val="left" w:pos="814"/>
        </w:tabs>
        <w:spacing w:after="120" w:line="360" w:lineRule="auto"/>
        <w:rPr>
          <w:rFonts w:ascii="Arial" w:eastAsia="Arial" w:hAnsi="Arial" w:cs="Arial"/>
          <w:color w:val="010000"/>
          <w:sz w:val="20"/>
          <w:szCs w:val="20"/>
        </w:rPr>
      </w:pPr>
      <w:r w:rsidRPr="000B1705">
        <w:rPr>
          <w:rFonts w:ascii="Arial" w:hAnsi="Arial" w:cs="Arial"/>
          <w:color w:val="010000"/>
          <w:sz w:val="20"/>
        </w:rPr>
        <w:t>Promote the application of advanced scientific and technological advances in sugarcane cultivation and sugar processing.</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Maintain the position of Quang Ngai Sugar Joint Stock Company as the leading cane sugar production and trading enterprise in Vietnam.</w:t>
      </w:r>
    </w:p>
    <w:p w:rsidR="00991600" w:rsidRPr="000B1705" w:rsidRDefault="00D70E10" w:rsidP="00B916C1">
      <w:pPr>
        <w:keepNext/>
        <w:numPr>
          <w:ilvl w:val="0"/>
          <w:numId w:val="4"/>
        </w:numPr>
        <w:pBdr>
          <w:top w:val="nil"/>
          <w:left w:val="nil"/>
          <w:bottom w:val="nil"/>
          <w:right w:val="nil"/>
          <w:between w:val="nil"/>
        </w:pBdr>
        <w:tabs>
          <w:tab w:val="left" w:pos="432"/>
          <w:tab w:val="left" w:pos="540"/>
          <w:tab w:val="left" w:pos="888"/>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 VND1,169,359 million (excluding VAT)</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 which:</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
        <w:gridCol w:w="4762"/>
        <w:gridCol w:w="3359"/>
      </w:tblGrid>
      <w:tr w:rsidR="00991600" w:rsidRPr="000B1705" w:rsidTr="0050319D">
        <w:tc>
          <w:tcPr>
            <w:tcW w:w="496" w:type="pct"/>
            <w:shd w:val="clear" w:color="auto" w:fill="auto"/>
            <w:tcMar>
              <w:top w:w="0" w:type="dxa"/>
              <w:bottom w:w="0" w:type="dxa"/>
            </w:tcMar>
            <w:vAlign w:val="center"/>
          </w:tcPr>
          <w:p w:rsidR="00991600" w:rsidRPr="000B1705" w:rsidRDefault="0050319D"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No. </w:t>
            </w:r>
          </w:p>
        </w:tc>
        <w:tc>
          <w:tcPr>
            <w:tcW w:w="264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1863"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Amount (excluding VAT)</w:t>
            </w:r>
          </w:p>
        </w:tc>
      </w:tr>
      <w:tr w:rsidR="00991600" w:rsidRPr="000B1705" w:rsidTr="0050319D">
        <w:tc>
          <w:tcPr>
            <w:tcW w:w="496"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264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Investment expenses for construction and equipment</w:t>
            </w:r>
          </w:p>
        </w:tc>
        <w:tc>
          <w:tcPr>
            <w:tcW w:w="1863"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1,083,913</w:t>
            </w:r>
          </w:p>
        </w:tc>
      </w:tr>
      <w:tr w:rsidR="00991600" w:rsidRPr="000B1705" w:rsidTr="0050319D">
        <w:tc>
          <w:tcPr>
            <w:tcW w:w="496" w:type="pct"/>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64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Construction</w:t>
            </w:r>
          </w:p>
        </w:tc>
        <w:tc>
          <w:tcPr>
            <w:tcW w:w="1863"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118,110</w:t>
            </w:r>
          </w:p>
        </w:tc>
      </w:tr>
      <w:tr w:rsidR="00991600" w:rsidRPr="000B1705" w:rsidTr="0050319D">
        <w:tc>
          <w:tcPr>
            <w:tcW w:w="496" w:type="pct"/>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64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Equipment</w:t>
            </w:r>
          </w:p>
        </w:tc>
        <w:tc>
          <w:tcPr>
            <w:tcW w:w="1863"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904,680</w:t>
            </w:r>
          </w:p>
        </w:tc>
      </w:tr>
      <w:tr w:rsidR="00991600" w:rsidRPr="000B1705" w:rsidTr="0050319D">
        <w:tc>
          <w:tcPr>
            <w:tcW w:w="496" w:type="pct"/>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64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Other expenses</w:t>
            </w:r>
          </w:p>
        </w:tc>
        <w:tc>
          <w:tcPr>
            <w:tcW w:w="1863"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61,123</w:t>
            </w:r>
          </w:p>
        </w:tc>
      </w:tr>
      <w:tr w:rsidR="00991600" w:rsidRPr="000B1705" w:rsidTr="0050319D">
        <w:tc>
          <w:tcPr>
            <w:tcW w:w="496"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264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Loan interest during the construction period</w:t>
            </w:r>
          </w:p>
        </w:tc>
        <w:tc>
          <w:tcPr>
            <w:tcW w:w="1863"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85,445</w:t>
            </w:r>
          </w:p>
        </w:tc>
      </w:tr>
      <w:tr w:rsidR="00991600" w:rsidRPr="000B1705" w:rsidTr="0050319D">
        <w:tc>
          <w:tcPr>
            <w:tcW w:w="496" w:type="pct"/>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64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w:t>
            </w:r>
          </w:p>
        </w:tc>
        <w:tc>
          <w:tcPr>
            <w:tcW w:w="1863"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1,169,359</w:t>
            </w:r>
          </w:p>
        </w:tc>
      </w:tr>
    </w:tbl>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 Investment capital source:</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lastRenderedPageBreak/>
        <w:t>Unit: Million VND</w:t>
      </w:r>
    </w:p>
    <w:tbl>
      <w:tblPr>
        <w:tblStyle w:val="a0"/>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810"/>
        <w:gridCol w:w="4951"/>
        <w:gridCol w:w="3260"/>
      </w:tblGrid>
      <w:tr w:rsidR="00991600" w:rsidRPr="000B1705" w:rsidTr="0050319D">
        <w:tc>
          <w:tcPr>
            <w:tcW w:w="449" w:type="pct"/>
            <w:shd w:val="clear" w:color="auto" w:fill="auto"/>
            <w:tcMar>
              <w:top w:w="0" w:type="dxa"/>
              <w:bottom w:w="0" w:type="dxa"/>
            </w:tcMar>
            <w:vAlign w:val="center"/>
          </w:tcPr>
          <w:p w:rsidR="00991600" w:rsidRPr="000B1705" w:rsidRDefault="0050319D"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No. </w:t>
            </w:r>
          </w:p>
        </w:tc>
        <w:tc>
          <w:tcPr>
            <w:tcW w:w="274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1807"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Amount (excluding VAT)</w:t>
            </w:r>
          </w:p>
        </w:tc>
      </w:tr>
      <w:tr w:rsidR="00991600" w:rsidRPr="000B1705" w:rsidTr="0050319D">
        <w:tc>
          <w:tcPr>
            <w:tcW w:w="449"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274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Commercial bank loan capital</w:t>
            </w:r>
          </w:p>
        </w:tc>
        <w:tc>
          <w:tcPr>
            <w:tcW w:w="1807"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748,424</w:t>
            </w:r>
          </w:p>
        </w:tc>
      </w:tr>
      <w:tr w:rsidR="00991600" w:rsidRPr="000B1705" w:rsidTr="0050319D">
        <w:tc>
          <w:tcPr>
            <w:tcW w:w="449"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274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Equity capital</w:t>
            </w:r>
          </w:p>
        </w:tc>
        <w:tc>
          <w:tcPr>
            <w:tcW w:w="1807"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335,490</w:t>
            </w:r>
          </w:p>
        </w:tc>
      </w:tr>
      <w:tr w:rsidR="00991600" w:rsidRPr="000B1705" w:rsidTr="0050319D">
        <w:tc>
          <w:tcPr>
            <w:tcW w:w="449"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w:t>
            </w:r>
          </w:p>
        </w:tc>
        <w:tc>
          <w:tcPr>
            <w:tcW w:w="274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Loan interest during the construction period</w:t>
            </w:r>
          </w:p>
        </w:tc>
        <w:tc>
          <w:tcPr>
            <w:tcW w:w="1807"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85,445</w:t>
            </w:r>
          </w:p>
        </w:tc>
      </w:tr>
      <w:tr w:rsidR="00991600" w:rsidRPr="000B1705" w:rsidTr="0050319D">
        <w:tc>
          <w:tcPr>
            <w:tcW w:w="449" w:type="pct"/>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74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w:t>
            </w:r>
          </w:p>
        </w:tc>
        <w:tc>
          <w:tcPr>
            <w:tcW w:w="1807"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1,169,359</w:t>
            </w:r>
          </w:p>
        </w:tc>
      </w:tr>
    </w:tbl>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7. Project implementation progress: Investment time: From November 16, 2024 to November 15, 2027</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4"/>
        <w:gridCol w:w="6492"/>
      </w:tblGrid>
      <w:tr w:rsidR="00991600" w:rsidRPr="000B1705" w:rsidTr="0050319D">
        <w:tc>
          <w:tcPr>
            <w:tcW w:w="14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36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Time</w:t>
            </w:r>
          </w:p>
        </w:tc>
      </w:tr>
      <w:tr w:rsidR="00991600" w:rsidRPr="000B1705" w:rsidTr="0050319D">
        <w:tc>
          <w:tcPr>
            <w:tcW w:w="14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Prepare to invest</w:t>
            </w:r>
          </w:p>
        </w:tc>
        <w:tc>
          <w:tcPr>
            <w:tcW w:w="36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From June 2024 to November 15, 2024</w:t>
            </w:r>
          </w:p>
        </w:tc>
      </w:tr>
      <w:tr w:rsidR="00991600" w:rsidRPr="000B1705" w:rsidTr="0050319D">
        <w:tc>
          <w:tcPr>
            <w:tcW w:w="14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Investment</w:t>
            </w:r>
          </w:p>
        </w:tc>
        <w:tc>
          <w:tcPr>
            <w:tcW w:w="36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From November 16, 2024 to November 15, 2026</w:t>
            </w:r>
          </w:p>
        </w:tc>
      </w:tr>
      <w:tr w:rsidR="00991600" w:rsidRPr="000B1705" w:rsidTr="0050319D">
        <w:tc>
          <w:tcPr>
            <w:tcW w:w="14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Test production</w:t>
            </w:r>
          </w:p>
        </w:tc>
        <w:tc>
          <w:tcPr>
            <w:tcW w:w="36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From November 16, 2026 to November 15, 2027</w:t>
            </w:r>
          </w:p>
        </w:tc>
      </w:tr>
      <w:tr w:rsidR="00991600" w:rsidRPr="000B1705" w:rsidTr="0050319D">
        <w:tc>
          <w:tcPr>
            <w:tcW w:w="14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Come into operation</w:t>
            </w:r>
          </w:p>
        </w:tc>
        <w:tc>
          <w:tcPr>
            <w:tcW w:w="3600"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November 16, 2027</w:t>
            </w:r>
          </w:p>
        </w:tc>
      </w:tr>
    </w:tbl>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‎‎Article 2. Approve the Project "Investment and expansion of Nhà máy Điện sinh khối An Khê (tentatively translated as An Khe Biomass Power Plant) to increase design capacity to 135MW" with the following main contents:</w:t>
      </w:r>
    </w:p>
    <w:p w:rsidR="00991600" w:rsidRPr="000B1705" w:rsidRDefault="00D70E10" w:rsidP="00B916C1">
      <w:pPr>
        <w:keepNext/>
        <w:numPr>
          <w:ilvl w:val="0"/>
          <w:numId w:val="6"/>
        </w:numPr>
        <w:pBdr>
          <w:top w:val="nil"/>
          <w:left w:val="nil"/>
          <w:bottom w:val="nil"/>
          <w:right w:val="nil"/>
          <w:between w:val="nil"/>
        </w:pBdr>
        <w:tabs>
          <w:tab w:val="left" w:pos="432"/>
          <w:tab w:val="left" w:pos="540"/>
          <w:tab w:val="left" w:pos="896"/>
        </w:tabs>
        <w:spacing w:after="120" w:line="360" w:lineRule="auto"/>
        <w:rPr>
          <w:rFonts w:ascii="Arial" w:eastAsia="Arial" w:hAnsi="Arial" w:cs="Arial"/>
          <w:color w:val="010000"/>
          <w:sz w:val="20"/>
          <w:szCs w:val="20"/>
        </w:rPr>
      </w:pPr>
      <w:r w:rsidRPr="000B1705">
        <w:rPr>
          <w:rFonts w:ascii="Arial" w:hAnsi="Arial" w:cs="Arial"/>
          <w:color w:val="010000"/>
          <w:sz w:val="20"/>
        </w:rPr>
        <w:t>Project name: Investment and expansion of An Khe Biomass Power Plant to increase design capacity to 135MW</w:t>
      </w:r>
    </w:p>
    <w:p w:rsidR="00991600" w:rsidRPr="000B1705" w:rsidRDefault="00D70E10" w:rsidP="00B916C1">
      <w:pPr>
        <w:numPr>
          <w:ilvl w:val="0"/>
          <w:numId w:val="6"/>
        </w:numPr>
        <w:pBdr>
          <w:top w:val="nil"/>
          <w:left w:val="nil"/>
          <w:bottom w:val="nil"/>
          <w:right w:val="nil"/>
          <w:between w:val="nil"/>
        </w:pBdr>
        <w:tabs>
          <w:tab w:val="left" w:pos="432"/>
          <w:tab w:val="left" w:pos="540"/>
          <w:tab w:val="left" w:pos="893"/>
        </w:tabs>
        <w:spacing w:after="120" w:line="360" w:lineRule="auto"/>
        <w:rPr>
          <w:rFonts w:ascii="Arial" w:eastAsia="Arial" w:hAnsi="Arial" w:cs="Arial"/>
          <w:color w:val="010000"/>
          <w:sz w:val="20"/>
          <w:szCs w:val="20"/>
        </w:rPr>
      </w:pPr>
      <w:r w:rsidRPr="000B1705">
        <w:rPr>
          <w:rFonts w:ascii="Arial" w:hAnsi="Arial" w:cs="Arial"/>
          <w:color w:val="010000"/>
          <w:sz w:val="20"/>
        </w:rPr>
        <w:t>Investment location: Thanh An Commune - An Khe Town - Gia Lai Province</w:t>
      </w:r>
    </w:p>
    <w:p w:rsidR="00991600" w:rsidRPr="000B1705" w:rsidRDefault="00D70E10" w:rsidP="00B916C1">
      <w:pPr>
        <w:numPr>
          <w:ilvl w:val="0"/>
          <w:numId w:val="6"/>
        </w:numPr>
        <w:pBdr>
          <w:top w:val="nil"/>
          <w:left w:val="nil"/>
          <w:bottom w:val="nil"/>
          <w:right w:val="nil"/>
          <w:between w:val="nil"/>
        </w:pBdr>
        <w:tabs>
          <w:tab w:val="left" w:pos="432"/>
          <w:tab w:val="left" w:pos="540"/>
          <w:tab w:val="left" w:pos="893"/>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Investment scale: Invest in generator set </w:t>
      </w:r>
      <w:r w:rsidR="0050319D" w:rsidRPr="000B1705">
        <w:rPr>
          <w:rFonts w:ascii="Arial" w:hAnsi="Arial" w:cs="Arial"/>
          <w:color w:val="010000"/>
          <w:sz w:val="20"/>
        </w:rPr>
        <w:t xml:space="preserve">No. </w:t>
      </w:r>
      <w:r w:rsidRPr="000B1705">
        <w:rPr>
          <w:rFonts w:ascii="Arial" w:hAnsi="Arial" w:cs="Arial"/>
          <w:color w:val="010000"/>
          <w:sz w:val="20"/>
        </w:rPr>
        <w:t xml:space="preserve">3 with </w:t>
      </w:r>
      <w:r w:rsidR="000D68CF" w:rsidRPr="000B1705">
        <w:rPr>
          <w:rFonts w:ascii="Arial" w:hAnsi="Arial" w:cs="Arial"/>
          <w:color w:val="010000"/>
          <w:sz w:val="20"/>
        </w:rPr>
        <w:t xml:space="preserve">an </w:t>
      </w:r>
      <w:r w:rsidRPr="000B1705">
        <w:rPr>
          <w:rFonts w:ascii="Arial" w:hAnsi="Arial" w:cs="Arial"/>
          <w:color w:val="010000"/>
          <w:sz w:val="20"/>
        </w:rPr>
        <w:t>installed capacity of 40MW</w:t>
      </w:r>
    </w:p>
    <w:p w:rsidR="00991600" w:rsidRPr="000B1705" w:rsidRDefault="00D70E10" w:rsidP="00B916C1">
      <w:pPr>
        <w:numPr>
          <w:ilvl w:val="0"/>
          <w:numId w:val="6"/>
        </w:numPr>
        <w:pBdr>
          <w:top w:val="nil"/>
          <w:left w:val="nil"/>
          <w:bottom w:val="nil"/>
          <w:right w:val="nil"/>
          <w:between w:val="nil"/>
        </w:pBdr>
        <w:tabs>
          <w:tab w:val="left" w:pos="432"/>
          <w:tab w:val="left" w:pos="540"/>
          <w:tab w:val="left" w:pos="893"/>
        </w:tabs>
        <w:spacing w:after="120" w:line="360" w:lineRule="auto"/>
        <w:rPr>
          <w:rFonts w:ascii="Arial" w:eastAsia="Arial" w:hAnsi="Arial" w:cs="Arial"/>
          <w:color w:val="010000"/>
          <w:sz w:val="20"/>
          <w:szCs w:val="20"/>
        </w:rPr>
      </w:pPr>
      <w:r w:rsidRPr="000B1705">
        <w:rPr>
          <w:rFonts w:ascii="Arial" w:hAnsi="Arial" w:cs="Arial"/>
          <w:color w:val="010000"/>
          <w:sz w:val="20"/>
        </w:rPr>
        <w:t>Investment purpose:</w:t>
      </w:r>
    </w:p>
    <w:p w:rsidR="00991600" w:rsidRPr="000B1705" w:rsidRDefault="00D70E10" w:rsidP="00B916C1">
      <w:pPr>
        <w:numPr>
          <w:ilvl w:val="0"/>
          <w:numId w:val="5"/>
        </w:numPr>
        <w:pBdr>
          <w:top w:val="nil"/>
          <w:left w:val="nil"/>
          <w:bottom w:val="nil"/>
          <w:right w:val="nil"/>
          <w:between w:val="nil"/>
        </w:pBdr>
        <w:tabs>
          <w:tab w:val="left" w:pos="432"/>
          <w:tab w:val="left" w:pos="540"/>
          <w:tab w:val="left" w:pos="81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Use bagasse in sugarcane production to create a clean energy source, contributing to solving environmental problems, </w:t>
      </w:r>
      <w:r w:rsidR="000D68CF" w:rsidRPr="000B1705">
        <w:rPr>
          <w:rFonts w:ascii="Arial" w:hAnsi="Arial" w:cs="Arial"/>
          <w:color w:val="010000"/>
          <w:sz w:val="20"/>
        </w:rPr>
        <w:t xml:space="preserve">and </w:t>
      </w:r>
      <w:r w:rsidRPr="000B1705">
        <w:rPr>
          <w:rFonts w:ascii="Arial" w:hAnsi="Arial" w:cs="Arial"/>
          <w:color w:val="010000"/>
          <w:sz w:val="20"/>
        </w:rPr>
        <w:t>contributing to meeting the annual load growth of Gia Lai province and provinces in the Central region.</w:t>
      </w:r>
    </w:p>
    <w:p w:rsidR="00991600" w:rsidRPr="000B1705" w:rsidRDefault="00D70E10" w:rsidP="00B916C1">
      <w:pPr>
        <w:numPr>
          <w:ilvl w:val="0"/>
          <w:numId w:val="5"/>
        </w:numPr>
        <w:pBdr>
          <w:top w:val="nil"/>
          <w:left w:val="nil"/>
          <w:bottom w:val="nil"/>
          <w:right w:val="nil"/>
          <w:between w:val="nil"/>
        </w:pBdr>
        <w:tabs>
          <w:tab w:val="left" w:pos="432"/>
          <w:tab w:val="left" w:pos="540"/>
          <w:tab w:val="left" w:pos="819"/>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Increase revenue for Quang Ngai Sugar Joint Stock Company, create jobs for workers, and </w:t>
      </w:r>
      <w:r w:rsidR="000D68CF" w:rsidRPr="000B1705">
        <w:rPr>
          <w:rFonts w:ascii="Arial" w:hAnsi="Arial" w:cs="Arial"/>
          <w:color w:val="010000"/>
          <w:sz w:val="20"/>
        </w:rPr>
        <w:t>contribute</w:t>
      </w:r>
      <w:r w:rsidRPr="000B1705">
        <w:rPr>
          <w:rFonts w:ascii="Arial" w:hAnsi="Arial" w:cs="Arial"/>
          <w:color w:val="010000"/>
          <w:sz w:val="20"/>
        </w:rPr>
        <w:t xml:space="preserve"> to local socio-economic development.</w:t>
      </w:r>
    </w:p>
    <w:p w:rsidR="00991600" w:rsidRPr="000B1705" w:rsidRDefault="00D70E10" w:rsidP="00B916C1">
      <w:pPr>
        <w:keepNext/>
        <w:numPr>
          <w:ilvl w:val="0"/>
          <w:numId w:val="6"/>
        </w:numPr>
        <w:pBdr>
          <w:top w:val="nil"/>
          <w:left w:val="nil"/>
          <w:bottom w:val="nil"/>
          <w:right w:val="nil"/>
          <w:between w:val="nil"/>
        </w:pBdr>
        <w:tabs>
          <w:tab w:val="left" w:pos="432"/>
          <w:tab w:val="left" w:pos="540"/>
          <w:tab w:val="left" w:pos="903"/>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 VND846,763 million (excluding VAT)</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 which:</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hAnsi="Arial" w:cs="Arial"/>
          <w:color w:val="010000"/>
          <w:sz w:val="20"/>
        </w:rPr>
      </w:pPr>
      <w:r w:rsidRPr="000B1705">
        <w:rPr>
          <w:rFonts w:ascii="Arial" w:hAnsi="Arial" w:cs="Arial"/>
          <w:color w:val="010000"/>
          <w:sz w:val="20"/>
        </w:rPr>
        <w:t>Unit: Million VND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0"/>
        <w:gridCol w:w="5044"/>
        <w:gridCol w:w="3202"/>
      </w:tblGrid>
      <w:tr w:rsidR="000D68CF" w:rsidRPr="000B1705" w:rsidTr="00592B78">
        <w:tc>
          <w:tcPr>
            <w:tcW w:w="42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No. </w:t>
            </w: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Amount (excluding VAT)</w:t>
            </w:r>
          </w:p>
        </w:tc>
      </w:tr>
      <w:tr w:rsidR="000D68CF" w:rsidRPr="000B1705" w:rsidTr="00592B78">
        <w:tc>
          <w:tcPr>
            <w:tcW w:w="42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Investment expenses for construction and equipment</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784,883</w:t>
            </w:r>
          </w:p>
        </w:tc>
      </w:tr>
      <w:tr w:rsidR="000D68CF" w:rsidRPr="000B1705" w:rsidTr="00592B78">
        <w:tc>
          <w:tcPr>
            <w:tcW w:w="427" w:type="pct"/>
            <w:shd w:val="clear" w:color="auto" w:fill="auto"/>
            <w:tcMar>
              <w:top w:w="0" w:type="dxa"/>
              <w:bottom w:w="0" w:type="dxa"/>
            </w:tcMar>
            <w:vAlign w:val="center"/>
          </w:tcPr>
          <w:p w:rsidR="000D68CF" w:rsidRPr="000B1705" w:rsidRDefault="000D68CF" w:rsidP="00B916C1">
            <w:pPr>
              <w:tabs>
                <w:tab w:val="left" w:pos="432"/>
                <w:tab w:val="left" w:pos="540"/>
              </w:tabs>
              <w:spacing w:after="120" w:line="360" w:lineRule="auto"/>
              <w:rPr>
                <w:rFonts w:ascii="Arial" w:eastAsia="Arial" w:hAnsi="Arial" w:cs="Arial"/>
                <w:color w:val="010000"/>
                <w:sz w:val="20"/>
                <w:szCs w:val="20"/>
              </w:rPr>
            </w:pP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Construction</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56,788</w:t>
            </w:r>
          </w:p>
        </w:tc>
      </w:tr>
      <w:tr w:rsidR="000D68CF" w:rsidRPr="000B1705" w:rsidTr="00592B78">
        <w:tc>
          <w:tcPr>
            <w:tcW w:w="427" w:type="pct"/>
            <w:shd w:val="clear" w:color="auto" w:fill="auto"/>
            <w:tcMar>
              <w:top w:w="0" w:type="dxa"/>
              <w:bottom w:w="0" w:type="dxa"/>
            </w:tcMar>
            <w:vAlign w:val="center"/>
          </w:tcPr>
          <w:p w:rsidR="000D68CF" w:rsidRPr="000B1705" w:rsidRDefault="000D68CF" w:rsidP="00B916C1">
            <w:pPr>
              <w:tabs>
                <w:tab w:val="left" w:pos="432"/>
                <w:tab w:val="left" w:pos="540"/>
              </w:tabs>
              <w:spacing w:after="120" w:line="360" w:lineRule="auto"/>
              <w:rPr>
                <w:rFonts w:ascii="Arial" w:eastAsia="Arial" w:hAnsi="Arial" w:cs="Arial"/>
                <w:color w:val="010000"/>
                <w:sz w:val="20"/>
                <w:szCs w:val="20"/>
              </w:rPr>
            </w:pP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Equipment</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656,321</w:t>
            </w:r>
          </w:p>
        </w:tc>
      </w:tr>
      <w:tr w:rsidR="000D68CF" w:rsidRPr="000B1705" w:rsidTr="00592B78">
        <w:tc>
          <w:tcPr>
            <w:tcW w:w="427" w:type="pct"/>
            <w:shd w:val="clear" w:color="auto" w:fill="auto"/>
            <w:tcMar>
              <w:top w:w="0" w:type="dxa"/>
              <w:bottom w:w="0" w:type="dxa"/>
            </w:tcMar>
            <w:vAlign w:val="center"/>
          </w:tcPr>
          <w:p w:rsidR="000D68CF" w:rsidRPr="000B1705" w:rsidRDefault="000D68CF" w:rsidP="00B916C1">
            <w:pPr>
              <w:tabs>
                <w:tab w:val="left" w:pos="432"/>
                <w:tab w:val="left" w:pos="540"/>
              </w:tabs>
              <w:spacing w:after="120" w:line="360" w:lineRule="auto"/>
              <w:rPr>
                <w:rFonts w:ascii="Arial" w:eastAsia="Arial" w:hAnsi="Arial" w:cs="Arial"/>
                <w:color w:val="010000"/>
                <w:sz w:val="20"/>
                <w:szCs w:val="20"/>
              </w:rPr>
            </w:pP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Other expenses</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71,774</w:t>
            </w:r>
          </w:p>
        </w:tc>
      </w:tr>
      <w:tr w:rsidR="000D68CF" w:rsidRPr="000B1705" w:rsidTr="00592B78">
        <w:tc>
          <w:tcPr>
            <w:tcW w:w="42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w:t>
            </w: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Loan interest during the investment period</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61,879</w:t>
            </w:r>
          </w:p>
        </w:tc>
      </w:tr>
      <w:tr w:rsidR="000D68CF" w:rsidRPr="000B1705" w:rsidTr="00592B78">
        <w:tc>
          <w:tcPr>
            <w:tcW w:w="427" w:type="pct"/>
            <w:shd w:val="clear" w:color="auto" w:fill="auto"/>
            <w:tcMar>
              <w:top w:w="0" w:type="dxa"/>
              <w:bottom w:w="0" w:type="dxa"/>
            </w:tcMar>
            <w:vAlign w:val="center"/>
          </w:tcPr>
          <w:p w:rsidR="000D68CF" w:rsidRPr="000B1705" w:rsidRDefault="000D68CF" w:rsidP="00B916C1">
            <w:pPr>
              <w:tabs>
                <w:tab w:val="left" w:pos="432"/>
                <w:tab w:val="left" w:pos="540"/>
              </w:tabs>
              <w:spacing w:after="120" w:line="360" w:lineRule="auto"/>
              <w:rPr>
                <w:rFonts w:ascii="Arial" w:eastAsia="Arial" w:hAnsi="Arial" w:cs="Arial"/>
                <w:color w:val="010000"/>
                <w:sz w:val="20"/>
                <w:szCs w:val="20"/>
              </w:rPr>
            </w:pP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846,763</w:t>
            </w:r>
          </w:p>
        </w:tc>
      </w:tr>
    </w:tbl>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 Investment capital source:</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hAnsi="Arial" w:cs="Arial"/>
          <w:color w:val="010000"/>
          <w:sz w:val="20"/>
        </w:rPr>
      </w:pPr>
      <w:r w:rsidRPr="000B1705">
        <w:rPr>
          <w:rFonts w:ascii="Arial" w:hAnsi="Arial" w:cs="Arial"/>
          <w:color w:val="010000"/>
          <w:sz w:val="20"/>
        </w:rPr>
        <w:t>Unit: Million VND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1"/>
        <w:gridCol w:w="5044"/>
        <w:gridCol w:w="3201"/>
      </w:tblGrid>
      <w:tr w:rsidR="000D68CF" w:rsidRPr="000B1705" w:rsidTr="00592B78">
        <w:tc>
          <w:tcPr>
            <w:tcW w:w="428"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No. </w:t>
            </w: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Amount (excluding VAT)</w:t>
            </w:r>
          </w:p>
        </w:tc>
      </w:tr>
      <w:tr w:rsidR="000D68CF" w:rsidRPr="000B1705" w:rsidTr="00592B78">
        <w:tc>
          <w:tcPr>
            <w:tcW w:w="428"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Commercial bank loan capital</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542,009</w:t>
            </w:r>
          </w:p>
        </w:tc>
      </w:tr>
      <w:tr w:rsidR="000D68CF" w:rsidRPr="000B1705" w:rsidTr="00592B78">
        <w:tc>
          <w:tcPr>
            <w:tcW w:w="428"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Equity capital</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242,874</w:t>
            </w:r>
          </w:p>
        </w:tc>
      </w:tr>
      <w:tr w:rsidR="000D68CF" w:rsidRPr="000B1705" w:rsidTr="00592B78">
        <w:tc>
          <w:tcPr>
            <w:tcW w:w="428"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w:t>
            </w: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Loan interest during the investment period</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61,879</w:t>
            </w:r>
          </w:p>
        </w:tc>
      </w:tr>
      <w:tr w:rsidR="000D68CF" w:rsidRPr="000B1705" w:rsidTr="00592B78">
        <w:tc>
          <w:tcPr>
            <w:tcW w:w="428" w:type="pct"/>
            <w:shd w:val="clear" w:color="auto" w:fill="auto"/>
            <w:tcMar>
              <w:top w:w="0" w:type="dxa"/>
              <w:bottom w:w="0" w:type="dxa"/>
            </w:tcMar>
            <w:vAlign w:val="center"/>
          </w:tcPr>
          <w:p w:rsidR="000D68CF" w:rsidRPr="000B1705" w:rsidRDefault="000D68CF" w:rsidP="00B916C1">
            <w:pPr>
              <w:tabs>
                <w:tab w:val="left" w:pos="432"/>
                <w:tab w:val="left" w:pos="540"/>
              </w:tabs>
              <w:spacing w:after="120" w:line="360" w:lineRule="auto"/>
              <w:rPr>
                <w:rFonts w:ascii="Arial" w:eastAsia="Arial" w:hAnsi="Arial" w:cs="Arial"/>
                <w:color w:val="010000"/>
                <w:sz w:val="20"/>
                <w:szCs w:val="20"/>
              </w:rPr>
            </w:pPr>
          </w:p>
        </w:tc>
        <w:tc>
          <w:tcPr>
            <w:tcW w:w="2797"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w:t>
            </w:r>
          </w:p>
        </w:tc>
        <w:tc>
          <w:tcPr>
            <w:tcW w:w="1776" w:type="pct"/>
            <w:shd w:val="clear" w:color="auto" w:fill="auto"/>
            <w:tcMar>
              <w:top w:w="0" w:type="dxa"/>
              <w:bottom w:w="0" w:type="dxa"/>
            </w:tcMar>
            <w:vAlign w:val="center"/>
          </w:tcPr>
          <w:p w:rsidR="000D68CF" w:rsidRPr="000B1705" w:rsidRDefault="000D68CF"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846,763</w:t>
            </w:r>
          </w:p>
        </w:tc>
      </w:tr>
    </w:tbl>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7. Project implementation progress: Investment time: From November 16, 2024 to November 15, 2027</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3"/>
        <w:gridCol w:w="6483"/>
      </w:tblGrid>
      <w:tr w:rsidR="00991600" w:rsidRPr="000B1705" w:rsidTr="0050319D">
        <w:tc>
          <w:tcPr>
            <w:tcW w:w="140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359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Time</w:t>
            </w:r>
          </w:p>
        </w:tc>
      </w:tr>
      <w:tr w:rsidR="00991600" w:rsidRPr="000B1705" w:rsidTr="0050319D">
        <w:tc>
          <w:tcPr>
            <w:tcW w:w="140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Prepare to invest</w:t>
            </w:r>
          </w:p>
        </w:tc>
        <w:tc>
          <w:tcPr>
            <w:tcW w:w="359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From June 2024 to November 15, 2024</w:t>
            </w:r>
          </w:p>
        </w:tc>
      </w:tr>
      <w:tr w:rsidR="00991600" w:rsidRPr="000B1705" w:rsidTr="0050319D">
        <w:tc>
          <w:tcPr>
            <w:tcW w:w="140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Investment</w:t>
            </w:r>
          </w:p>
        </w:tc>
        <w:tc>
          <w:tcPr>
            <w:tcW w:w="359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From November 16, 2024 to November 15, 2026</w:t>
            </w:r>
          </w:p>
        </w:tc>
      </w:tr>
      <w:tr w:rsidR="00991600" w:rsidRPr="000B1705" w:rsidTr="0050319D">
        <w:tc>
          <w:tcPr>
            <w:tcW w:w="140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Test production</w:t>
            </w:r>
          </w:p>
        </w:tc>
        <w:tc>
          <w:tcPr>
            <w:tcW w:w="359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From November 16, 2026 to November 15, 2027</w:t>
            </w:r>
          </w:p>
        </w:tc>
      </w:tr>
      <w:tr w:rsidR="00991600" w:rsidRPr="000B1705" w:rsidTr="0050319D">
        <w:tc>
          <w:tcPr>
            <w:tcW w:w="140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Come into operation</w:t>
            </w:r>
          </w:p>
        </w:tc>
        <w:tc>
          <w:tcPr>
            <w:tcW w:w="359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November 16, 2027</w:t>
            </w:r>
          </w:p>
        </w:tc>
      </w:tr>
    </w:tbl>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‎‎Article 3. Approve the plan "Investment in B1 warehouse at Biscafun Confectionery Factory with the following main contents:</w:t>
      </w:r>
    </w:p>
    <w:p w:rsidR="00991600" w:rsidRPr="000B1705" w:rsidRDefault="00D70E10" w:rsidP="00B916C1">
      <w:pPr>
        <w:keepNext/>
        <w:numPr>
          <w:ilvl w:val="0"/>
          <w:numId w:val="1"/>
        </w:numPr>
        <w:pBdr>
          <w:top w:val="nil"/>
          <w:left w:val="nil"/>
          <w:bottom w:val="nil"/>
          <w:right w:val="nil"/>
          <w:between w:val="nil"/>
        </w:pBdr>
        <w:tabs>
          <w:tab w:val="left" w:pos="432"/>
          <w:tab w:val="left" w:pos="540"/>
          <w:tab w:val="left" w:pos="874"/>
        </w:tabs>
        <w:spacing w:after="120" w:line="360" w:lineRule="auto"/>
        <w:rPr>
          <w:rFonts w:ascii="Arial" w:eastAsia="Arial" w:hAnsi="Arial" w:cs="Arial"/>
          <w:color w:val="010000"/>
          <w:sz w:val="20"/>
          <w:szCs w:val="20"/>
        </w:rPr>
      </w:pPr>
      <w:r w:rsidRPr="000B1705">
        <w:rPr>
          <w:rFonts w:ascii="Arial" w:hAnsi="Arial" w:cs="Arial"/>
          <w:color w:val="010000"/>
          <w:sz w:val="20"/>
        </w:rPr>
        <w:t>Project name: Investment in B1 warehouse</w:t>
      </w:r>
    </w:p>
    <w:p w:rsidR="00991600" w:rsidRPr="000B1705" w:rsidRDefault="00D70E10" w:rsidP="00B916C1">
      <w:pPr>
        <w:numPr>
          <w:ilvl w:val="0"/>
          <w:numId w:val="1"/>
        </w:numPr>
        <w:pBdr>
          <w:top w:val="nil"/>
          <w:left w:val="nil"/>
          <w:bottom w:val="nil"/>
          <w:right w:val="nil"/>
          <w:between w:val="nil"/>
        </w:pBdr>
        <w:tabs>
          <w:tab w:val="left" w:pos="432"/>
          <w:tab w:val="left" w:pos="540"/>
          <w:tab w:val="left" w:pos="906"/>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Investment </w:t>
      </w:r>
      <w:r w:rsidR="00B916C1" w:rsidRPr="000B1705">
        <w:rPr>
          <w:rFonts w:ascii="Arial" w:hAnsi="Arial" w:cs="Arial"/>
          <w:color w:val="010000"/>
          <w:sz w:val="20"/>
        </w:rPr>
        <w:t>Location</w:t>
      </w:r>
      <w:r w:rsidRPr="000B1705">
        <w:rPr>
          <w:rFonts w:ascii="Arial" w:hAnsi="Arial" w:cs="Arial"/>
          <w:color w:val="010000"/>
          <w:sz w:val="20"/>
        </w:rPr>
        <w:t>: On the campus of Quang Ngai Sugar Joint Stock Company - 02 Nguyen Chi Thanh, Quang Phu Ward, Quang Ngai City, Quang Ngai Province</w:t>
      </w:r>
    </w:p>
    <w:p w:rsidR="00991600" w:rsidRPr="000B1705" w:rsidRDefault="00D70E10" w:rsidP="00B916C1">
      <w:pPr>
        <w:numPr>
          <w:ilvl w:val="0"/>
          <w:numId w:val="1"/>
        </w:numPr>
        <w:pBdr>
          <w:top w:val="nil"/>
          <w:left w:val="nil"/>
          <w:bottom w:val="nil"/>
          <w:right w:val="nil"/>
          <w:between w:val="nil"/>
        </w:pBdr>
        <w:tabs>
          <w:tab w:val="left" w:pos="432"/>
          <w:tab w:val="left" w:pos="540"/>
          <w:tab w:val="left" w:pos="913"/>
        </w:tabs>
        <w:spacing w:after="120" w:line="360" w:lineRule="auto"/>
        <w:rPr>
          <w:rFonts w:ascii="Arial" w:eastAsia="Arial" w:hAnsi="Arial" w:cs="Arial"/>
          <w:color w:val="010000"/>
          <w:sz w:val="20"/>
          <w:szCs w:val="20"/>
        </w:rPr>
      </w:pPr>
      <w:r w:rsidRPr="000B1705">
        <w:rPr>
          <w:rFonts w:ascii="Arial" w:hAnsi="Arial" w:cs="Arial"/>
          <w:color w:val="010000"/>
          <w:sz w:val="20"/>
        </w:rPr>
        <w:t>Investment contents: Investment in B1 warehouse</w:t>
      </w:r>
    </w:p>
    <w:p w:rsidR="00991600" w:rsidRPr="000B1705" w:rsidRDefault="00D70E10" w:rsidP="00B916C1">
      <w:pPr>
        <w:numPr>
          <w:ilvl w:val="0"/>
          <w:numId w:val="1"/>
        </w:numPr>
        <w:pBdr>
          <w:top w:val="nil"/>
          <w:left w:val="nil"/>
          <w:bottom w:val="nil"/>
          <w:right w:val="nil"/>
          <w:between w:val="nil"/>
        </w:pBdr>
        <w:tabs>
          <w:tab w:val="left" w:pos="432"/>
          <w:tab w:val="left" w:pos="540"/>
          <w:tab w:val="left" w:pos="913"/>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 VND15,860 million (excluding VAT)</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 which:</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Unit: Million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9"/>
        <w:gridCol w:w="5725"/>
        <w:gridCol w:w="2442"/>
      </w:tblGrid>
      <w:tr w:rsidR="00991600" w:rsidRPr="000B1705" w:rsidTr="0050319D">
        <w:tc>
          <w:tcPr>
            <w:tcW w:w="471" w:type="pct"/>
            <w:shd w:val="clear" w:color="auto" w:fill="auto"/>
            <w:tcMar>
              <w:top w:w="0" w:type="dxa"/>
              <w:bottom w:w="0" w:type="dxa"/>
            </w:tcMar>
            <w:vAlign w:val="center"/>
          </w:tcPr>
          <w:p w:rsidR="00991600" w:rsidRPr="000B1705" w:rsidRDefault="0050319D"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No. </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Amount (excluding VAT)</w:t>
            </w:r>
          </w:p>
        </w:tc>
      </w:tr>
      <w:tr w:rsidR="00991600" w:rsidRPr="000B1705" w:rsidTr="0050319D">
        <w:tc>
          <w:tcPr>
            <w:tcW w:w="47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Construction expenses</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12,975</w:t>
            </w:r>
          </w:p>
        </w:tc>
      </w:tr>
      <w:tr w:rsidR="00991600" w:rsidRPr="000B1705" w:rsidTr="0050319D">
        <w:tc>
          <w:tcPr>
            <w:tcW w:w="47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lastRenderedPageBreak/>
              <w:t>1.1</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B1 warehouse construction expenses</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12,438</w:t>
            </w:r>
          </w:p>
        </w:tc>
      </w:tr>
      <w:tr w:rsidR="00991600" w:rsidRPr="000B1705" w:rsidTr="0050319D">
        <w:tc>
          <w:tcPr>
            <w:tcW w:w="47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1.2</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Electricity for lighting expenses</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537</w:t>
            </w:r>
          </w:p>
        </w:tc>
      </w:tr>
      <w:tr w:rsidR="00991600" w:rsidRPr="000B1705" w:rsidTr="0050319D">
        <w:tc>
          <w:tcPr>
            <w:tcW w:w="47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Construction investment consulting expenses</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421</w:t>
            </w:r>
          </w:p>
        </w:tc>
      </w:tr>
      <w:tr w:rsidR="00991600" w:rsidRPr="000B1705" w:rsidTr="0050319D">
        <w:tc>
          <w:tcPr>
            <w:tcW w:w="47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Other expenses</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113</w:t>
            </w:r>
          </w:p>
        </w:tc>
      </w:tr>
      <w:tr w:rsidR="00991600" w:rsidRPr="000B1705" w:rsidTr="0050319D">
        <w:tc>
          <w:tcPr>
            <w:tcW w:w="47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Provision expense</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378</w:t>
            </w:r>
          </w:p>
        </w:tc>
      </w:tr>
      <w:tr w:rsidR="00991600" w:rsidRPr="000B1705" w:rsidTr="0050319D">
        <w:tc>
          <w:tcPr>
            <w:tcW w:w="47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5</w:t>
            </w: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Expenses of design, appraisal of fire protection design, construction and installation of fire protection system</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1,972</w:t>
            </w:r>
          </w:p>
        </w:tc>
      </w:tr>
      <w:tr w:rsidR="00991600" w:rsidRPr="000B1705" w:rsidTr="0050319D">
        <w:tc>
          <w:tcPr>
            <w:tcW w:w="471" w:type="pct"/>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317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w:t>
            </w:r>
          </w:p>
        </w:tc>
        <w:tc>
          <w:tcPr>
            <w:tcW w:w="1354"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15,860</w:t>
            </w:r>
          </w:p>
        </w:tc>
      </w:tr>
    </w:tbl>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5. Investment capital source: Equity capital of Quang Ngai Sugar Joint Stock Company</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 Implementation time: From July 2024</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‎‎Article 4. Approve the plan "Investment in renovating the fire protection system at Vinasoy Bac Ninh Soya Products Factory" with the following main contents:</w:t>
      </w:r>
    </w:p>
    <w:p w:rsidR="00991600" w:rsidRPr="000B1705" w:rsidRDefault="00D70E10" w:rsidP="00B916C1">
      <w:pPr>
        <w:keepNext/>
        <w:numPr>
          <w:ilvl w:val="0"/>
          <w:numId w:val="2"/>
        </w:numPr>
        <w:pBdr>
          <w:top w:val="nil"/>
          <w:left w:val="nil"/>
          <w:bottom w:val="nil"/>
          <w:right w:val="nil"/>
          <w:between w:val="nil"/>
        </w:pBdr>
        <w:tabs>
          <w:tab w:val="left" w:pos="432"/>
          <w:tab w:val="left" w:pos="540"/>
          <w:tab w:val="left" w:pos="906"/>
        </w:tabs>
        <w:spacing w:after="120" w:line="360" w:lineRule="auto"/>
        <w:rPr>
          <w:rFonts w:ascii="Arial" w:eastAsia="Arial" w:hAnsi="Arial" w:cs="Arial"/>
          <w:color w:val="010000"/>
          <w:sz w:val="20"/>
          <w:szCs w:val="20"/>
        </w:rPr>
      </w:pPr>
      <w:r w:rsidRPr="000B1705">
        <w:rPr>
          <w:rFonts w:ascii="Arial" w:hAnsi="Arial" w:cs="Arial"/>
          <w:color w:val="010000"/>
          <w:sz w:val="20"/>
        </w:rPr>
        <w:t>Project name: Investment in renovating the fire protection system at Vinasoy Bac Ninh Soya Products Factory</w:t>
      </w:r>
    </w:p>
    <w:p w:rsidR="00991600" w:rsidRPr="000B1705" w:rsidRDefault="00D70E10" w:rsidP="00B916C1">
      <w:pPr>
        <w:numPr>
          <w:ilvl w:val="0"/>
          <w:numId w:val="2"/>
        </w:numPr>
        <w:pBdr>
          <w:top w:val="nil"/>
          <w:left w:val="nil"/>
          <w:bottom w:val="nil"/>
          <w:right w:val="nil"/>
          <w:between w:val="nil"/>
        </w:pBdr>
        <w:tabs>
          <w:tab w:val="left" w:pos="432"/>
          <w:tab w:val="left" w:pos="540"/>
          <w:tab w:val="left" w:pos="906"/>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Investment location: Vinasoy Bac Ninh Soya Products Factory- Tien Son Industrial Park, Dong Nguyen Ward, Tu Son City, Bac Ninh Province. </w:t>
      </w:r>
    </w:p>
    <w:p w:rsidR="00991600" w:rsidRPr="000B1705" w:rsidRDefault="00D70E10" w:rsidP="00B916C1">
      <w:pPr>
        <w:numPr>
          <w:ilvl w:val="0"/>
          <w:numId w:val="2"/>
        </w:numPr>
        <w:pBdr>
          <w:top w:val="nil"/>
          <w:left w:val="nil"/>
          <w:bottom w:val="nil"/>
          <w:right w:val="nil"/>
          <w:between w:val="nil"/>
        </w:pBdr>
        <w:tabs>
          <w:tab w:val="left" w:pos="432"/>
          <w:tab w:val="left" w:pos="540"/>
          <w:tab w:val="left" w:pos="906"/>
        </w:tabs>
        <w:spacing w:after="120" w:line="360" w:lineRule="auto"/>
        <w:rPr>
          <w:rFonts w:ascii="Arial" w:eastAsia="Arial" w:hAnsi="Arial" w:cs="Arial"/>
          <w:color w:val="010000"/>
          <w:sz w:val="20"/>
          <w:szCs w:val="20"/>
        </w:rPr>
      </w:pPr>
      <w:r w:rsidRPr="000B1705">
        <w:rPr>
          <w:rFonts w:ascii="Arial" w:hAnsi="Arial" w:cs="Arial"/>
          <w:color w:val="010000"/>
          <w:sz w:val="20"/>
        </w:rPr>
        <w:t>Investment contents: Renovate and install additional fire partitions, adjust the existing fire protection system of the factory item, and fire water supply pump cluster 01 (pump cluster installed in phase 1).</w:t>
      </w:r>
    </w:p>
    <w:p w:rsidR="00991600" w:rsidRPr="000B1705" w:rsidRDefault="00D70E10" w:rsidP="00B916C1">
      <w:pPr>
        <w:keepNext/>
        <w:numPr>
          <w:ilvl w:val="0"/>
          <w:numId w:val="2"/>
        </w:numPr>
        <w:pBdr>
          <w:top w:val="nil"/>
          <w:left w:val="nil"/>
          <w:bottom w:val="nil"/>
          <w:right w:val="nil"/>
          <w:between w:val="nil"/>
        </w:pBdr>
        <w:tabs>
          <w:tab w:val="left" w:pos="432"/>
          <w:tab w:val="left" w:pos="540"/>
          <w:tab w:val="left" w:pos="903"/>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 VND13,710 million (excluding VAT)</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In which:</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Unit: Million VND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9"/>
        <w:gridCol w:w="5635"/>
        <w:gridCol w:w="2442"/>
      </w:tblGrid>
      <w:tr w:rsidR="00991600" w:rsidRPr="000B1705" w:rsidTr="0050319D">
        <w:tc>
          <w:tcPr>
            <w:tcW w:w="521" w:type="pct"/>
            <w:shd w:val="clear" w:color="auto" w:fill="auto"/>
            <w:tcMar>
              <w:top w:w="0" w:type="dxa"/>
              <w:bottom w:w="0" w:type="dxa"/>
            </w:tcMar>
            <w:vAlign w:val="center"/>
          </w:tcPr>
          <w:p w:rsidR="00991600" w:rsidRPr="000B1705" w:rsidRDefault="0050319D"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No. </w:t>
            </w:r>
          </w:p>
        </w:tc>
        <w:tc>
          <w:tcPr>
            <w:tcW w:w="312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Content</w:t>
            </w:r>
          </w:p>
        </w:tc>
        <w:tc>
          <w:tcPr>
            <w:tcW w:w="135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Amount (excluding VAT)</w:t>
            </w:r>
          </w:p>
        </w:tc>
      </w:tr>
      <w:tr w:rsidR="00991600" w:rsidRPr="000B1705" w:rsidTr="0050319D">
        <w:tc>
          <w:tcPr>
            <w:tcW w:w="52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312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Expenses for building fire partitions and installing fire protection systems</w:t>
            </w:r>
          </w:p>
        </w:tc>
        <w:tc>
          <w:tcPr>
            <w:tcW w:w="135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12,318</w:t>
            </w:r>
          </w:p>
        </w:tc>
      </w:tr>
      <w:tr w:rsidR="00991600" w:rsidRPr="000B1705" w:rsidTr="0050319D">
        <w:tc>
          <w:tcPr>
            <w:tcW w:w="52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312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Construction investment consulting expenses</w:t>
            </w:r>
          </w:p>
        </w:tc>
        <w:tc>
          <w:tcPr>
            <w:tcW w:w="135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645</w:t>
            </w:r>
          </w:p>
        </w:tc>
      </w:tr>
      <w:tr w:rsidR="00991600" w:rsidRPr="000B1705" w:rsidTr="0050319D">
        <w:tc>
          <w:tcPr>
            <w:tcW w:w="52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w:t>
            </w:r>
          </w:p>
        </w:tc>
        <w:tc>
          <w:tcPr>
            <w:tcW w:w="312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Project management expenses</w:t>
            </w:r>
          </w:p>
        </w:tc>
        <w:tc>
          <w:tcPr>
            <w:tcW w:w="135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94</w:t>
            </w:r>
          </w:p>
        </w:tc>
      </w:tr>
      <w:tr w:rsidR="00991600" w:rsidRPr="000B1705" w:rsidTr="0050319D">
        <w:tc>
          <w:tcPr>
            <w:tcW w:w="521"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w:t>
            </w:r>
          </w:p>
        </w:tc>
        <w:tc>
          <w:tcPr>
            <w:tcW w:w="312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Provision expense</w:t>
            </w:r>
          </w:p>
        </w:tc>
        <w:tc>
          <w:tcPr>
            <w:tcW w:w="135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653</w:t>
            </w:r>
          </w:p>
        </w:tc>
      </w:tr>
      <w:tr w:rsidR="00991600" w:rsidRPr="000B1705" w:rsidTr="0050319D">
        <w:tc>
          <w:tcPr>
            <w:tcW w:w="521" w:type="pct"/>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312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Total investment</w:t>
            </w:r>
          </w:p>
        </w:tc>
        <w:tc>
          <w:tcPr>
            <w:tcW w:w="1355" w:type="pct"/>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13,710</w:t>
            </w:r>
          </w:p>
        </w:tc>
      </w:tr>
    </w:tbl>
    <w:p w:rsidR="00991600" w:rsidRPr="000B1705" w:rsidRDefault="00D70E10" w:rsidP="00B916C1">
      <w:pPr>
        <w:numPr>
          <w:ilvl w:val="0"/>
          <w:numId w:val="3"/>
        </w:numPr>
        <w:pBdr>
          <w:top w:val="nil"/>
          <w:left w:val="nil"/>
          <w:bottom w:val="nil"/>
          <w:right w:val="nil"/>
          <w:between w:val="nil"/>
        </w:pBdr>
        <w:tabs>
          <w:tab w:val="left" w:pos="317"/>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Investment capital source: The </w:t>
      </w:r>
      <w:r w:rsidR="00B916C1" w:rsidRPr="000B1705">
        <w:rPr>
          <w:rFonts w:ascii="Arial" w:hAnsi="Arial" w:cs="Arial"/>
          <w:color w:val="010000"/>
          <w:sz w:val="20"/>
        </w:rPr>
        <w:t>own</w:t>
      </w:r>
      <w:r w:rsidRPr="000B1705">
        <w:rPr>
          <w:rFonts w:ascii="Arial" w:hAnsi="Arial" w:cs="Arial"/>
          <w:color w:val="010000"/>
          <w:sz w:val="20"/>
        </w:rPr>
        <w:t xml:space="preserve"> capital of the Company</w:t>
      </w:r>
    </w:p>
    <w:p w:rsidR="00991600" w:rsidRPr="000B1705" w:rsidRDefault="00D70E10" w:rsidP="00B916C1">
      <w:pPr>
        <w:numPr>
          <w:ilvl w:val="0"/>
          <w:numId w:val="3"/>
        </w:numPr>
        <w:pBdr>
          <w:top w:val="nil"/>
          <w:left w:val="nil"/>
          <w:bottom w:val="nil"/>
          <w:right w:val="nil"/>
          <w:between w:val="nil"/>
        </w:pBdr>
        <w:tabs>
          <w:tab w:val="left" w:pos="302"/>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progress: From July 2024 to March 2025</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‎‎Article 5. Approve contracts and transactions between Quang Ngai Sugar Joint Stock Company and </w:t>
      </w:r>
      <w:r w:rsidRPr="000B1705">
        <w:rPr>
          <w:rFonts w:ascii="Arial" w:hAnsi="Arial" w:cs="Arial"/>
          <w:color w:val="010000"/>
          <w:sz w:val="20"/>
        </w:rPr>
        <w:lastRenderedPageBreak/>
        <w:t>Thanh Phat Trading One Member Limited Company 2024.</w:t>
      </w:r>
    </w:p>
    <w:tbl>
      <w:tblPr>
        <w:tblStyle w:val="a7"/>
        <w:tblW w:w="5000" w:type="pct"/>
        <w:tblLook w:val="0000" w:firstRow="0" w:lastRow="0" w:firstColumn="0" w:lastColumn="0" w:noHBand="0" w:noVBand="0"/>
      </w:tblPr>
      <w:tblGrid>
        <w:gridCol w:w="324"/>
        <w:gridCol w:w="4090"/>
        <w:gridCol w:w="1643"/>
        <w:gridCol w:w="1123"/>
        <w:gridCol w:w="1836"/>
      </w:tblGrid>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Transaction content</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Contract/ regulation </w:t>
            </w:r>
            <w:r w:rsidR="0050319D" w:rsidRPr="000B1705">
              <w:rPr>
                <w:rFonts w:ascii="Arial" w:hAnsi="Arial" w:cs="Arial"/>
                <w:color w:val="010000"/>
                <w:sz w:val="20"/>
              </w:rPr>
              <w:t xml:space="preserve">No. </w:t>
            </w: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Contract/ regulation date</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time</w:t>
            </w:r>
          </w:p>
        </w:tc>
      </w:tr>
      <w:tr w:rsidR="00991600"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w:t>
            </w:r>
          </w:p>
        </w:tc>
        <w:tc>
          <w:tcPr>
            <w:tcW w:w="4820"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Quang Ngai Sugar Joint Stock Company buying goods and services</w:t>
            </w:r>
            <w:r w:rsidR="00B916C1" w:rsidRPr="000B1705">
              <w:rPr>
                <w:rFonts w:ascii="Arial" w:hAnsi="Arial" w:cs="Arial"/>
                <w:color w:val="010000"/>
                <w:sz w:val="20"/>
              </w:rPr>
              <w:t xml:space="preserve"> of</w:t>
            </w:r>
            <w:r w:rsidRPr="000B1705">
              <w:rPr>
                <w:rFonts w:ascii="Arial" w:hAnsi="Arial" w:cs="Arial"/>
                <w:color w:val="010000"/>
                <w:sz w:val="20"/>
              </w:rPr>
              <w:t xml:space="preserve"> Thanh Phat Trading One Member Limited Company</w:t>
            </w:r>
          </w:p>
        </w:tc>
      </w:tr>
      <w:tr w:rsidR="00991600"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Contracts</w:t>
            </w:r>
          </w:p>
        </w:tc>
        <w:tc>
          <w:tcPr>
            <w:tcW w:w="1534" w:type="pct"/>
            <w:gridSpan w:val="2"/>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Contract of sugar and molasses consumption servic</w:t>
            </w:r>
            <w:r w:rsidR="00B916C1" w:rsidRPr="000B1705">
              <w:rPr>
                <w:rFonts w:ascii="Arial" w:hAnsi="Arial" w:cs="Arial"/>
                <w:color w:val="010000"/>
                <w:sz w:val="20"/>
              </w:rPr>
              <w:t>e; import-export service; supplying</w:t>
            </w:r>
            <w:r w:rsidRPr="000B1705">
              <w:rPr>
                <w:rFonts w:ascii="Arial" w:hAnsi="Arial" w:cs="Arial"/>
                <w:color w:val="010000"/>
                <w:sz w:val="20"/>
              </w:rPr>
              <w:t xml:space="preserve"> services of goods, equipment, and raw materials.</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01-2024/HDKT-QNS-TP</w:t>
            </w:r>
          </w:p>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December 30, 2023</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Take effect from January 1, 2024 to December 31, 2024</w:t>
            </w: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xml:space="preserve">Sugar and molasses consumption service </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Import-export service</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Supply services of goods, equipment, and raw materials</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Services contract for managing materials and fixed assets at Nhà máy đường Phổ Phong (tentatively translated as Pho Phong Sugar Factory)</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17/HDDV-QNS-TP</w:t>
            </w: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May 15, 2024</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from January 1, 2024 to December 31, 2024</w:t>
            </w: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II.</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Transactions</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pBdr>
                <w:top w:val="nil"/>
                <w:left w:val="nil"/>
                <w:bottom w:val="nil"/>
                <w:right w:val="nil"/>
                <w:between w:val="nil"/>
              </w:pBdr>
              <w:tabs>
                <w:tab w:val="left" w:pos="42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Regulations on the sales cost support regime of Dung Quat Brewery for Thanh Phat Trading One Member Limited Company to support the consumption of beer products.</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449/QyD-BDQ</w:t>
            </w:r>
          </w:p>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December 30, 2023</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from January 1, 2024 to December 31, 2024</w:t>
            </w: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Regulations on trade discounts</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447/QyD-BDQ</w:t>
            </w:r>
          </w:p>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December 30, 2023</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from January 1, 2024 until June 15, 2024</w:t>
            </w:r>
          </w:p>
        </w:tc>
      </w:tr>
      <w:tr w:rsidR="00991600"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B.</w:t>
            </w:r>
          </w:p>
        </w:tc>
        <w:tc>
          <w:tcPr>
            <w:tcW w:w="4820"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Quang Ngai Sugar Joint Stock Company selling goods and services for Thanh Phat Trading One Member Limited Compan</w:t>
            </w:r>
            <w:r w:rsidR="00B916C1" w:rsidRPr="000B1705">
              <w:rPr>
                <w:rFonts w:ascii="Arial" w:hAnsi="Arial" w:cs="Arial"/>
                <w:color w:val="010000"/>
                <w:sz w:val="20"/>
              </w:rPr>
              <w:t>y</w:t>
            </w: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Contracts</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Sugar and molasses selling and buying contract</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01/HD/QNS-TP</w:t>
            </w:r>
          </w:p>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January 16, 2024</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Take effect from January 16, 2024</w:t>
            </w:r>
          </w:p>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lastRenderedPageBreak/>
              <w:t>2.</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Beer selling and buying contract</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01/HDNT-BDQ</w:t>
            </w:r>
          </w:p>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January 02, 2024</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Take effect from January 2, 2024 to December 31, 2024</w:t>
            </w: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Lease contract to work in Ho Chi Minh City</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40/DQN-TP</w:t>
            </w:r>
          </w:p>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April 24, 2024</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Take effect from January 01, 2024</w:t>
            </w: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Office and garage rental contract</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439/HDTVP/BDQ-TP</w:t>
            </w: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December 29, 2023</w:t>
            </w: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Take effect from January 1, 2024 to December 31, 2024</w:t>
            </w:r>
          </w:p>
        </w:tc>
      </w:tr>
      <w:tr w:rsidR="0050319D" w:rsidRPr="000B1705" w:rsidTr="000B1705">
        <w:tc>
          <w:tcPr>
            <w:tcW w:w="180"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II.</w:t>
            </w:r>
          </w:p>
        </w:tc>
        <w:tc>
          <w:tcPr>
            <w:tcW w:w="2268"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Transactions</w:t>
            </w:r>
          </w:p>
        </w:tc>
        <w:tc>
          <w:tcPr>
            <w:tcW w:w="911"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r>
      <w:tr w:rsidR="0050319D" w:rsidRPr="000B1705" w:rsidTr="000B1705">
        <w:tc>
          <w:tcPr>
            <w:tcW w:w="1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91600" w:rsidRPr="000B1705" w:rsidRDefault="000B1705" w:rsidP="000B1705">
            <w:pPr>
              <w:pStyle w:val="ListParagraph"/>
              <w:pBdr>
                <w:top w:val="nil"/>
                <w:left w:val="nil"/>
                <w:bottom w:val="nil"/>
                <w:right w:val="nil"/>
                <w:between w:val="nil"/>
              </w:pBdr>
              <w:tabs>
                <w:tab w:val="left" w:pos="432"/>
                <w:tab w:val="left" w:pos="540"/>
              </w:tabs>
              <w:spacing w:after="120" w:line="360" w:lineRule="auto"/>
              <w:ind w:left="0"/>
              <w:rPr>
                <w:rFonts w:ascii="Arial" w:eastAsia="Arial" w:hAnsi="Arial" w:cs="Arial"/>
                <w:color w:val="010000"/>
                <w:sz w:val="20"/>
                <w:szCs w:val="20"/>
              </w:rPr>
            </w:pPr>
            <w:r w:rsidRPr="000B1705">
              <w:rPr>
                <w:rFonts w:ascii="Arial" w:hAnsi="Arial" w:cs="Arial"/>
                <w:color w:val="010000"/>
                <w:sz w:val="20"/>
              </w:rPr>
              <w:t xml:space="preserve">- </w:t>
            </w:r>
            <w:r w:rsidR="00D70E10" w:rsidRPr="000B1705">
              <w:rPr>
                <w:rFonts w:ascii="Arial" w:hAnsi="Arial" w:cs="Arial"/>
                <w:color w:val="010000"/>
                <w:sz w:val="20"/>
              </w:rPr>
              <w:t>Sell ​​milk, candy, mineral water</w:t>
            </w:r>
          </w:p>
        </w:tc>
        <w:tc>
          <w:tcPr>
            <w:tcW w:w="9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91600" w:rsidRPr="000B1705" w:rsidRDefault="00991600" w:rsidP="00B916C1">
            <w:pPr>
              <w:tabs>
                <w:tab w:val="left" w:pos="432"/>
                <w:tab w:val="left" w:pos="540"/>
              </w:tabs>
              <w:spacing w:after="120" w:line="360" w:lineRule="auto"/>
              <w:rPr>
                <w:rFonts w:ascii="Arial" w:eastAsia="Arial" w:hAnsi="Arial" w:cs="Arial"/>
                <w:color w:val="010000"/>
                <w:sz w:val="20"/>
                <w:szCs w:val="20"/>
              </w:rPr>
            </w:pPr>
          </w:p>
        </w:tc>
      </w:tr>
      <w:tr w:rsidR="000B1705" w:rsidRPr="000B1705" w:rsidTr="000B1705">
        <w:tblPrEx>
          <w:tblLook w:val="04A0" w:firstRow="1" w:lastRow="0" w:firstColumn="1" w:lastColumn="0" w:noHBand="0" w:noVBand="1"/>
        </w:tblPrEx>
        <w:tc>
          <w:tcPr>
            <w:tcW w:w="180"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Sell candy</w:t>
            </w: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r>
      <w:tr w:rsidR="000B1705" w:rsidRPr="000B1705" w:rsidTr="000B1705">
        <w:tblPrEx>
          <w:tblLook w:val="04A0" w:firstRow="1" w:lastRow="0" w:firstColumn="1" w:lastColumn="0" w:noHBand="0" w:noVBand="1"/>
        </w:tblPrEx>
        <w:tc>
          <w:tcPr>
            <w:tcW w:w="180"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Sell mineral water</w:t>
            </w: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r>
      <w:tr w:rsidR="000B1705" w:rsidRPr="000B1705" w:rsidTr="000B1705">
        <w:tblPrEx>
          <w:tblLook w:val="04A0" w:firstRow="1" w:lastRow="0" w:firstColumn="1" w:lastColumn="0" w:noHBand="0" w:noVBand="1"/>
        </w:tblPrEx>
        <w:tc>
          <w:tcPr>
            <w:tcW w:w="180"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226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Sell milk</w:t>
            </w: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r>
      <w:tr w:rsidR="000B1705" w:rsidRPr="000B1705" w:rsidTr="000B1705">
        <w:tblPrEx>
          <w:tblLook w:val="04A0" w:firstRow="1" w:lastRow="0" w:firstColumn="1" w:lastColumn="0" w:noHBand="0" w:noVBand="1"/>
        </w:tblPrEx>
        <w:tc>
          <w:tcPr>
            <w:tcW w:w="180" w:type="pct"/>
            <w:vMerge w:val="restar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2.</w:t>
            </w:r>
          </w:p>
        </w:tc>
        <w:tc>
          <w:tcPr>
            <w:tcW w:w="2268" w:type="pct"/>
            <w:vMerge w:val="restar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Regulations on promotional regimes for Dung Quat 355ml bottled beer</w:t>
            </w: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73/QD-BDQ</w:t>
            </w:r>
          </w:p>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March 07, 2024</w:t>
            </w: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from March 11, 2024 until March 18, 2024</w:t>
            </w:r>
          </w:p>
        </w:tc>
      </w:tr>
      <w:tr w:rsidR="000B1705" w:rsidRPr="000B1705" w:rsidTr="000B1705">
        <w:tblPrEx>
          <w:tblLook w:val="04A0" w:firstRow="1" w:lastRow="0" w:firstColumn="1" w:lastColumn="0" w:noHBand="0" w:noVBand="1"/>
        </w:tblPrEx>
        <w:tc>
          <w:tcPr>
            <w:tcW w:w="180" w:type="pct"/>
            <w:vMerge/>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68" w:type="pct"/>
            <w:vMerge/>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85/QD-BDQ</w:t>
            </w:r>
          </w:p>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March 25, 2024</w:t>
            </w: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from March 27, 2024 until March 29, 2024</w:t>
            </w:r>
          </w:p>
        </w:tc>
      </w:tr>
      <w:tr w:rsidR="000B1705" w:rsidRPr="000B1705" w:rsidTr="000B1705">
        <w:tblPrEx>
          <w:tblLook w:val="04A0" w:firstRow="1" w:lastRow="0" w:firstColumn="1" w:lastColumn="0" w:noHBand="0" w:noVBand="1"/>
        </w:tblPrEx>
        <w:tc>
          <w:tcPr>
            <w:tcW w:w="180" w:type="pct"/>
            <w:vMerge/>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68" w:type="pct"/>
            <w:vMerge/>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104/QD-BDQ</w:t>
            </w:r>
          </w:p>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April 12, 2024</w:t>
            </w: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from April 16, 2024 until April 27, 2024</w:t>
            </w:r>
          </w:p>
        </w:tc>
      </w:tr>
      <w:tr w:rsidR="000B1705" w:rsidRPr="000B1705" w:rsidTr="000B1705">
        <w:tblPrEx>
          <w:tblLook w:val="04A0" w:firstRow="1" w:lastRow="0" w:firstColumn="1" w:lastColumn="0" w:noHBand="0" w:noVBand="1"/>
        </w:tblPrEx>
        <w:tc>
          <w:tcPr>
            <w:tcW w:w="180" w:type="pct"/>
            <w:vMerge/>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2268" w:type="pct"/>
            <w:vMerge/>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162/QD-BDQ</w:t>
            </w:r>
          </w:p>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June 11, 2024</w:t>
            </w: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Implementation from June 14, 2024 until June 28, 2024</w:t>
            </w:r>
          </w:p>
        </w:tc>
      </w:tr>
      <w:tr w:rsidR="000B1705" w:rsidRPr="000B1705" w:rsidTr="000B1705">
        <w:tblPrEx>
          <w:tblLook w:val="04A0" w:firstRow="1" w:lastRow="0" w:firstColumn="1" w:lastColumn="0" w:noHBand="0" w:noVBand="1"/>
        </w:tblPrEx>
        <w:tc>
          <w:tcPr>
            <w:tcW w:w="180"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3.</w:t>
            </w:r>
          </w:p>
        </w:tc>
        <w:tc>
          <w:tcPr>
            <w:tcW w:w="226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Other services (electricity, water, etc.)</w:t>
            </w: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r>
      <w:tr w:rsidR="000B1705" w:rsidRPr="000B1705" w:rsidTr="000B1705">
        <w:tblPrEx>
          <w:tblLook w:val="04A0" w:firstRow="1" w:lastRow="0" w:firstColumn="1" w:lastColumn="0" w:noHBand="0" w:noVBand="1"/>
        </w:tblPrEx>
        <w:tc>
          <w:tcPr>
            <w:tcW w:w="180"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c.</w:t>
            </w:r>
          </w:p>
        </w:tc>
        <w:tc>
          <w:tcPr>
            <w:tcW w:w="226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Thanh Phat Trading One Member Limited Company transfers profits to Quang Ngai Sugar Joint Stock Company</w:t>
            </w: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w:t>
            </w:r>
          </w:p>
        </w:tc>
      </w:tr>
      <w:tr w:rsidR="000B1705" w:rsidRPr="000B1705" w:rsidTr="000B1705">
        <w:tblPrEx>
          <w:tblLook w:val="04A0" w:firstRow="1" w:lastRow="0" w:firstColumn="1" w:lastColumn="0" w:noHBand="0" w:noVBand="1"/>
        </w:tblPrEx>
        <w:tc>
          <w:tcPr>
            <w:tcW w:w="180"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D.</w:t>
            </w:r>
          </w:p>
        </w:tc>
        <w:tc>
          <w:tcPr>
            <w:tcW w:w="226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Quang Ngai Sugar Joint Stock Company paid dividends to Thanh Phat Trading One Member Limited Company</w:t>
            </w:r>
          </w:p>
        </w:tc>
        <w:tc>
          <w:tcPr>
            <w:tcW w:w="911"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c>
          <w:tcPr>
            <w:tcW w:w="623"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pBdr>
                <w:top w:val="nil"/>
                <w:left w:val="nil"/>
                <w:bottom w:val="nil"/>
                <w:right w:val="nil"/>
                <w:between w:val="nil"/>
              </w:pBdr>
              <w:tabs>
                <w:tab w:val="left" w:pos="211"/>
                <w:tab w:val="left" w:pos="432"/>
                <w:tab w:val="left" w:pos="540"/>
                <w:tab w:val="left" w:pos="1118"/>
              </w:tabs>
              <w:spacing w:after="120" w:line="360" w:lineRule="auto"/>
              <w:rPr>
                <w:rFonts w:ascii="Arial" w:eastAsia="Arial" w:hAnsi="Arial" w:cs="Arial"/>
                <w:color w:val="010000"/>
                <w:sz w:val="20"/>
                <w:szCs w:val="20"/>
              </w:rPr>
            </w:pPr>
            <w:r w:rsidRPr="000B1705">
              <w:rPr>
                <w:rFonts w:ascii="Arial" w:hAnsi="Arial" w:cs="Arial"/>
                <w:color w:val="010000"/>
                <w:sz w:val="20"/>
              </w:rPr>
              <w:tab/>
            </w:r>
          </w:p>
        </w:tc>
        <w:tc>
          <w:tcPr>
            <w:tcW w:w="1018" w:type="pct"/>
            <w:tcBorders>
              <w:top w:val="single" w:sz="4" w:space="0" w:color="000000"/>
              <w:left w:val="single" w:sz="4" w:space="0" w:color="000000"/>
              <w:bottom w:val="single" w:sz="4" w:space="0" w:color="000000"/>
              <w:right w:val="single" w:sz="4" w:space="0" w:color="000000"/>
            </w:tcBorders>
          </w:tcPr>
          <w:p w:rsidR="000B1705" w:rsidRPr="000B1705" w:rsidRDefault="000B1705" w:rsidP="00592B78">
            <w:pPr>
              <w:tabs>
                <w:tab w:val="left" w:pos="432"/>
                <w:tab w:val="left" w:pos="540"/>
              </w:tabs>
              <w:spacing w:after="120" w:line="360" w:lineRule="auto"/>
              <w:rPr>
                <w:rFonts w:ascii="Arial" w:eastAsia="Arial" w:hAnsi="Arial" w:cs="Arial"/>
                <w:color w:val="010000"/>
                <w:sz w:val="20"/>
                <w:szCs w:val="20"/>
              </w:rPr>
            </w:pPr>
          </w:p>
        </w:tc>
      </w:tr>
    </w:tbl>
    <w:p w:rsidR="00991600" w:rsidRPr="000B1705" w:rsidRDefault="00D70E10" w:rsidP="00B916C1">
      <w:pPr>
        <w:keepNext/>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lastRenderedPageBreak/>
        <w:t>‎‎Article 6. Implementation and organization</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The Board of Directors assigned the Chair of the Board, the General Manager of the Company to organize the implementation of the approved contents in the right oder, procedures and provisions of current law and the Company’s Charter.</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‎‎Article 7. Terms of enforcement:</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Members of the Board of Directors, the Board of Management, the Manager of An Khe Sugar Factory, An Khe Biomass Power Plant, Bisc</w:t>
      </w:r>
      <w:r w:rsidR="000B1705" w:rsidRPr="000B1705">
        <w:rPr>
          <w:rFonts w:ascii="Arial" w:hAnsi="Arial" w:cs="Arial"/>
          <w:color w:val="010000"/>
          <w:sz w:val="20"/>
        </w:rPr>
        <w:t xml:space="preserve">afun Confectionery Factory and </w:t>
      </w:r>
      <w:r w:rsidRPr="000B1705">
        <w:rPr>
          <w:rFonts w:ascii="Arial" w:hAnsi="Arial" w:cs="Arial"/>
          <w:color w:val="010000"/>
          <w:sz w:val="20"/>
        </w:rPr>
        <w:t>Vinasoy Bac Ninh Soya Products Factory are responsible for implementing this Resolution.</w:t>
      </w:r>
    </w:p>
    <w:p w:rsidR="00991600" w:rsidRPr="000B1705" w:rsidRDefault="00D70E10" w:rsidP="00B916C1">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0B1705">
        <w:rPr>
          <w:rFonts w:ascii="Arial" w:hAnsi="Arial" w:cs="Arial"/>
          <w:color w:val="010000"/>
          <w:sz w:val="20"/>
        </w:rPr>
        <w:t>- This Resolution takes effect from the date of its signing.</w:t>
      </w:r>
    </w:p>
    <w:sectPr w:rsidR="00991600" w:rsidRPr="000B1705" w:rsidSect="0050319D">
      <w:pgSz w:w="11906"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A410D"/>
    <w:multiLevelType w:val="multilevel"/>
    <w:tmpl w:val="DD546BC6"/>
    <w:lvl w:ilvl="0">
      <w:start w:val="5"/>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0C6DA7"/>
    <w:multiLevelType w:val="multilevel"/>
    <w:tmpl w:val="9F3C2B10"/>
    <w:lvl w:ilvl="0">
      <w:start w:val="1"/>
      <w:numFmt w:val="bullet"/>
      <w:lvlText w:val="-"/>
      <w:lvlJc w:val="left"/>
      <w:pPr>
        <w:ind w:left="0" w:firstLine="0"/>
      </w:pPr>
      <w:rPr>
        <w:rFonts w:ascii="Times New Roman" w:eastAsia="Times New Roman" w:hAnsi="Times New Roman" w:cs="Times New Roman"/>
        <w:b w:val="0"/>
        <w:i w:val="0"/>
        <w:smallCaps w:val="0"/>
        <w:strike w:val="0"/>
        <w:color w:val="585A64"/>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6D3246"/>
    <w:multiLevelType w:val="multilevel"/>
    <w:tmpl w:val="BFC0A7F0"/>
    <w:lvl w:ilvl="0">
      <w:start w:val="1"/>
      <w:numFmt w:val="decimal"/>
      <w:lvlText w:val="%1."/>
      <w:lvlJc w:val="left"/>
      <w:pPr>
        <w:ind w:left="0" w:firstLine="0"/>
      </w:pPr>
      <w:rPr>
        <w:rFonts w:ascii="Arial" w:eastAsia="Arial" w:hAnsi="Arial" w:cs="Arial"/>
        <w:b w:val="0"/>
        <w:i w:val="0"/>
        <w:smallCaps w:val="0"/>
        <w:strike w:val="0"/>
        <w:color w:val="2A2A2F"/>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8815B7"/>
    <w:multiLevelType w:val="multilevel"/>
    <w:tmpl w:val="255CB2E2"/>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D72F17"/>
    <w:multiLevelType w:val="multilevel"/>
    <w:tmpl w:val="9216BBA8"/>
    <w:lvl w:ilvl="0">
      <w:start w:val="1"/>
      <w:numFmt w:val="decimal"/>
      <w:lvlText w:val="%1."/>
      <w:lvlJc w:val="left"/>
      <w:pPr>
        <w:ind w:left="0" w:firstLine="0"/>
      </w:pPr>
      <w:rPr>
        <w:rFonts w:ascii="Arial" w:eastAsia="Arial" w:hAnsi="Arial" w:cs="Arial"/>
        <w:b w:val="0"/>
        <w:i w:val="0"/>
        <w:smallCaps w:val="0"/>
        <w:strike w:val="0"/>
        <w:color w:val="auto"/>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3F70EDA"/>
    <w:multiLevelType w:val="multilevel"/>
    <w:tmpl w:val="32F8B2A8"/>
    <w:lvl w:ilvl="0">
      <w:start w:val="1"/>
      <w:numFmt w:val="decimal"/>
      <w:lvlText w:val="%1."/>
      <w:lvlJc w:val="left"/>
      <w:pPr>
        <w:ind w:left="0" w:firstLine="0"/>
      </w:pPr>
      <w:rPr>
        <w:rFonts w:ascii="Arial" w:eastAsia="Arial" w:hAnsi="Arial" w:cs="Arial"/>
        <w:b w:val="0"/>
        <w:i w:val="0"/>
        <w:smallCaps w:val="0"/>
        <w:strike w:val="0"/>
        <w:color w:val="2A2A2F"/>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00"/>
    <w:rsid w:val="000B1705"/>
    <w:rsid w:val="000D68CF"/>
    <w:rsid w:val="0050319D"/>
    <w:rsid w:val="008D5330"/>
    <w:rsid w:val="00991600"/>
    <w:rsid w:val="00B916C1"/>
    <w:rsid w:val="00D70E10"/>
    <w:rsid w:val="00F1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7061E-B83A-4B60-8DD6-0C0F6655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2434B"/>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color w:val="2A2A2F"/>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36F8E"/>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A2A2F"/>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A2A2F"/>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2434B"/>
      <w:sz w:val="20"/>
      <w:szCs w:val="20"/>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color w:val="42434B"/>
    </w:rPr>
  </w:style>
  <w:style w:type="paragraph" w:customStyle="1" w:styleId="Other0">
    <w:name w:val="Other"/>
    <w:basedOn w:val="Normal"/>
    <w:link w:val="Other"/>
    <w:rPr>
      <w:rFonts w:ascii="Times New Roman" w:eastAsia="Times New Roman" w:hAnsi="Times New Roman" w:cs="Times New Roman"/>
      <w:b/>
      <w:bCs/>
      <w:color w:val="2A2A2F"/>
    </w:rPr>
  </w:style>
  <w:style w:type="paragraph" w:customStyle="1" w:styleId="Bodytext30">
    <w:name w:val="Body text (3)"/>
    <w:basedOn w:val="Normal"/>
    <w:link w:val="Bodytext3"/>
    <w:pPr>
      <w:jc w:val="right"/>
    </w:pPr>
    <w:rPr>
      <w:rFonts w:ascii="Arial" w:eastAsia="Arial" w:hAnsi="Arial" w:cs="Arial"/>
      <w:color w:val="D36F8E"/>
      <w:sz w:val="28"/>
      <w:szCs w:val="28"/>
    </w:rPr>
  </w:style>
  <w:style w:type="paragraph" w:customStyle="1" w:styleId="Heading11">
    <w:name w:val="Heading #1"/>
    <w:basedOn w:val="Normal"/>
    <w:link w:val="Heading10"/>
    <w:pPr>
      <w:spacing w:line="288" w:lineRule="auto"/>
      <w:ind w:firstLine="540"/>
      <w:outlineLvl w:val="0"/>
    </w:pPr>
    <w:rPr>
      <w:rFonts w:ascii="Times New Roman" w:eastAsia="Times New Roman" w:hAnsi="Times New Roman" w:cs="Times New Roman"/>
      <w:b/>
      <w:bCs/>
      <w:color w:val="2A2A2F"/>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color w:val="2A2A2F"/>
    </w:rPr>
  </w:style>
  <w:style w:type="paragraph" w:customStyle="1" w:styleId="Bodytext20">
    <w:name w:val="Body text (2)"/>
    <w:basedOn w:val="Normal"/>
    <w:link w:val="Bodytext2"/>
    <w:pPr>
      <w:spacing w:line="262" w:lineRule="auto"/>
      <w:ind w:left="70" w:firstLine="140"/>
    </w:pPr>
    <w:rPr>
      <w:rFonts w:ascii="Times New Roman" w:eastAsia="Times New Roman" w:hAnsi="Times New Roman" w:cs="Times New Roman"/>
      <w:color w:val="42434B"/>
      <w:sz w:val="20"/>
      <w:szCs w:val="20"/>
    </w:rPr>
  </w:style>
  <w:style w:type="paragraph" w:styleId="NormalWeb">
    <w:name w:val="Normal (Web)"/>
    <w:basedOn w:val="Normal"/>
    <w:uiPriority w:val="99"/>
    <w:unhideWhenUsed/>
    <w:rsid w:val="00FA0842"/>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B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sbH6aBLBTCTla2g1YZxWbmWN9A==">CgMxLjA4AHIhMXE3TEZxQmF2aDk4X2pIZjR1aE1CaVFqd1RLRENoNE5j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2024-07-10T03:44:00Z</dcterms:created>
  <dcterms:modified xsi:type="dcterms:W3CDTF">2024-07-10T03:44:00Z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e98a5f6f7a2db4fbf102956afcb63638756121f58a482d532e873a9d7ae279fc</vt:lpwstr>
  </property>
</Properties>
</file>