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5D71" w:rsidRPr="00FD176E" w:rsidRDefault="00D36821" w:rsidP="006C7E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  <w:tab w:val="left" w:pos="108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176E">
        <w:rPr>
          <w:rFonts w:ascii="Arial" w:hAnsi="Arial" w:cs="Arial"/>
          <w:b/>
          <w:color w:val="010000"/>
          <w:sz w:val="20"/>
        </w:rPr>
        <w:t>SAS: Notice on transferring investment capital</w:t>
      </w:r>
    </w:p>
    <w:p w14:paraId="00000002" w14:textId="03AA9999" w:rsidR="007B5D71" w:rsidRPr="00FD176E" w:rsidRDefault="00D36821" w:rsidP="006C7E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  <w:tab w:val="left" w:pos="108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D176E">
        <w:rPr>
          <w:rFonts w:ascii="Arial" w:hAnsi="Arial" w:cs="Arial"/>
          <w:color w:val="010000"/>
          <w:sz w:val="20"/>
        </w:rPr>
        <w:t xml:space="preserve">On July 08, 2024, Southern Airports Services Joint Stock Company announced Official Dispatch </w:t>
      </w:r>
      <w:r w:rsidR="00627F9F" w:rsidRPr="00FD176E">
        <w:rPr>
          <w:rFonts w:ascii="Arial" w:hAnsi="Arial" w:cs="Arial"/>
          <w:color w:val="010000"/>
          <w:sz w:val="20"/>
        </w:rPr>
        <w:t xml:space="preserve">No. </w:t>
      </w:r>
      <w:r w:rsidRPr="00FD176E">
        <w:rPr>
          <w:rFonts w:ascii="Arial" w:hAnsi="Arial" w:cs="Arial"/>
          <w:color w:val="010000"/>
          <w:sz w:val="20"/>
        </w:rPr>
        <w:t>748/CV-SASCO as follows:</w:t>
      </w:r>
    </w:p>
    <w:p w14:paraId="42D32E91" w14:textId="00E1469F" w:rsidR="00FD176E" w:rsidRPr="00FD176E" w:rsidRDefault="00FD176E" w:rsidP="006C7E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eastAsia="Arial" w:hAnsi="Arial" w:cs="Arial"/>
          <w:color w:val="010000"/>
          <w:sz w:val="20"/>
          <w:szCs w:val="20"/>
        </w:rPr>
        <w:t>Information about the organization implementing capital transfer</w:t>
      </w:r>
    </w:p>
    <w:p w14:paraId="00000003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Type of share: Common shares;</w:t>
      </w:r>
    </w:p>
    <w:p w14:paraId="00000004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Par value: VND100,000 /share;</w:t>
      </w:r>
    </w:p>
    <w:p w14:paraId="00000005" w14:textId="1C205DEF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 xml:space="preserve">Total number of shares expected to be transferred: 20,000 shares (accounting for 20% of the total number of shares issued </w:t>
      </w:r>
      <w:r w:rsidR="00FD176E" w:rsidRPr="00FD176E">
        <w:rPr>
          <w:rFonts w:ascii="Arial" w:hAnsi="Arial" w:cs="Arial"/>
          <w:color w:val="010000"/>
          <w:sz w:val="20"/>
        </w:rPr>
        <w:t>according to</w:t>
      </w:r>
      <w:r w:rsidRPr="00FD176E">
        <w:rPr>
          <w:rFonts w:ascii="Arial" w:hAnsi="Arial" w:cs="Arial"/>
          <w:color w:val="010000"/>
          <w:sz w:val="20"/>
        </w:rPr>
        <w:t xml:space="preserve"> the actual contributed capital in the charter capital);</w:t>
      </w:r>
    </w:p>
    <w:p w14:paraId="00000006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Reserve price: VND2,000,000,000;</w:t>
      </w:r>
    </w:p>
    <w:p w14:paraId="00000007" w14:textId="10534741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 xml:space="preserve">Method/basis for calculating the reserve price: </w:t>
      </w:r>
      <w:r w:rsidR="00FD176E" w:rsidRPr="00FD176E">
        <w:rPr>
          <w:rFonts w:ascii="Arial" w:hAnsi="Arial" w:cs="Arial"/>
          <w:color w:val="010000"/>
          <w:sz w:val="20"/>
        </w:rPr>
        <w:t>According to</w:t>
      </w:r>
      <w:r w:rsidRPr="00FD176E">
        <w:rPr>
          <w:rFonts w:ascii="Arial" w:hAnsi="Arial" w:cs="Arial"/>
          <w:color w:val="010000"/>
          <w:sz w:val="20"/>
        </w:rPr>
        <w:t xml:space="preserve"> the par value;</w:t>
      </w:r>
    </w:p>
    <w:p w14:paraId="00000008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Capital transfer method: Public auction;</w:t>
      </w:r>
    </w:p>
    <w:p w14:paraId="00000009" w14:textId="1DE14AA3" w:rsidR="007B5D71" w:rsidRPr="00FD176E" w:rsidRDefault="00FD176E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Enterprise/Auction organization</w:t>
      </w:r>
      <w:r w:rsidR="00D36821" w:rsidRPr="00FD176E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Công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ty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đấu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giá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hợp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danh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Bắc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Trung Nam (tentatively translated as “</w:t>
      </w:r>
      <w:proofErr w:type="spellStart"/>
      <w:r w:rsidR="00D36821" w:rsidRPr="00FD176E">
        <w:rPr>
          <w:rFonts w:ascii="Arial" w:hAnsi="Arial" w:cs="Arial"/>
          <w:color w:val="010000"/>
          <w:sz w:val="20"/>
        </w:rPr>
        <w:t>Bac</w:t>
      </w:r>
      <w:proofErr w:type="spellEnd"/>
      <w:r w:rsidR="00D36821" w:rsidRPr="00FD176E">
        <w:rPr>
          <w:rFonts w:ascii="Arial" w:hAnsi="Arial" w:cs="Arial"/>
          <w:color w:val="010000"/>
          <w:sz w:val="20"/>
        </w:rPr>
        <w:t xml:space="preserve"> Trung Nam Auction Partnership Company”);</w:t>
      </w:r>
    </w:p>
    <w:p w14:paraId="0000000A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Time for capital transfer: In Q3/2024;</w:t>
      </w:r>
    </w:p>
    <w:p w14:paraId="0000000B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 xml:space="preserve">Expected time to register to purchase shares: Specifically stipulated in the Regulations on auction promulgated by </w:t>
      </w:r>
      <w:proofErr w:type="spellStart"/>
      <w:r w:rsidRPr="00FD176E">
        <w:rPr>
          <w:rFonts w:ascii="Arial" w:hAnsi="Arial" w:cs="Arial"/>
          <w:color w:val="010000"/>
          <w:sz w:val="20"/>
        </w:rPr>
        <w:t>Bac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Trung Nam Auction Partnership Company;</w:t>
      </w:r>
    </w:p>
    <w:p w14:paraId="0000000C" w14:textId="31E61BF3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 xml:space="preserve">Limit on foreign ownership rate (foreign parties' participation rate must comply with specialized laws and international treaties). The Charter of </w:t>
      </w:r>
      <w:proofErr w:type="spellStart"/>
      <w:r w:rsidRPr="00FD176E">
        <w:rPr>
          <w:rFonts w:ascii="Arial" w:hAnsi="Arial" w:cs="Arial"/>
          <w:color w:val="010000"/>
          <w:sz w:val="20"/>
        </w:rPr>
        <w:t>Công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ty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proofErr w:type="spellStart"/>
      <w:r w:rsidRPr="00FD176E">
        <w:rPr>
          <w:rFonts w:ascii="Arial" w:hAnsi="Arial" w:cs="Arial"/>
          <w:color w:val="010000"/>
          <w:sz w:val="20"/>
        </w:rPr>
        <w:t>cổ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phần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Đầu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tư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Thương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mại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Bầu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Trời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176E">
        <w:rPr>
          <w:rFonts w:ascii="Arial" w:hAnsi="Arial" w:cs="Arial"/>
          <w:color w:val="010000"/>
          <w:sz w:val="20"/>
        </w:rPr>
        <w:t>Xanh</w:t>
      </w:r>
      <w:proofErr w:type="spellEnd"/>
      <w:r w:rsidRPr="00FD176E">
        <w:rPr>
          <w:rFonts w:ascii="Arial" w:hAnsi="Arial" w:cs="Arial"/>
          <w:color w:val="010000"/>
          <w:sz w:val="20"/>
        </w:rPr>
        <w:t xml:space="preserve"> (tentatively translated as “Blue Sky Trading Investment Joint Stock Company”) does not stipulate;</w:t>
      </w:r>
    </w:p>
    <w:p w14:paraId="0000000D" w14:textId="77777777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Restrictions related to capital transfer (if any): None;</w:t>
      </w:r>
    </w:p>
    <w:p w14:paraId="0000000E" w14:textId="74CE2EAF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 xml:space="preserve">Relevant taxes (income tax and other taxes related to offered shares): </w:t>
      </w:r>
      <w:r w:rsidR="00FD176E" w:rsidRPr="00FD176E">
        <w:rPr>
          <w:rFonts w:ascii="Arial" w:hAnsi="Arial" w:cs="Arial"/>
          <w:color w:val="010000"/>
          <w:sz w:val="20"/>
        </w:rPr>
        <w:t>According to</w:t>
      </w:r>
      <w:r w:rsidRPr="00FD176E">
        <w:rPr>
          <w:rFonts w:ascii="Arial" w:hAnsi="Arial" w:cs="Arial"/>
          <w:color w:val="010000"/>
          <w:sz w:val="20"/>
        </w:rPr>
        <w:t xml:space="preserve"> the current regulations;</w:t>
      </w:r>
    </w:p>
    <w:p w14:paraId="0000000F" w14:textId="259C991C" w:rsidR="007B5D71" w:rsidRPr="00FD176E" w:rsidRDefault="00D36821" w:rsidP="006C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 xml:space="preserve">Other information as prescribed by the law must be disclosed when transferring capital (such as auction dossiers, means, </w:t>
      </w:r>
      <w:r w:rsidR="00FD176E" w:rsidRPr="00FD176E">
        <w:rPr>
          <w:rFonts w:ascii="Arial" w:hAnsi="Arial" w:cs="Arial"/>
          <w:color w:val="010000"/>
          <w:sz w:val="20"/>
        </w:rPr>
        <w:t>location</w:t>
      </w:r>
      <w:r w:rsidRPr="00FD176E">
        <w:rPr>
          <w:rFonts w:ascii="Arial" w:hAnsi="Arial" w:cs="Arial"/>
          <w:color w:val="010000"/>
          <w:sz w:val="20"/>
        </w:rPr>
        <w:t xml:space="preserve"> of information disclosure, capital transfer at joint stock commercial banks</w:t>
      </w:r>
      <w:r w:rsidR="00FD176E" w:rsidRPr="00FD176E">
        <w:rPr>
          <w:rFonts w:ascii="Arial" w:hAnsi="Arial" w:cs="Arial"/>
          <w:color w:val="010000"/>
          <w:sz w:val="20"/>
        </w:rPr>
        <w:t>,</w:t>
      </w:r>
      <w:r w:rsidRPr="00FD176E">
        <w:rPr>
          <w:rFonts w:ascii="Arial" w:hAnsi="Arial" w:cs="Arial"/>
          <w:color w:val="010000"/>
          <w:sz w:val="20"/>
        </w:rPr>
        <w:t xml:space="preserve"> and other information not included in the regulations on auction and this information disclosure): None.</w:t>
      </w:r>
    </w:p>
    <w:p w14:paraId="00000010" w14:textId="77777777" w:rsidR="007B5D71" w:rsidRPr="00FD176E" w:rsidRDefault="00D36821" w:rsidP="006C7EE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Purpose of capital transfer</w:t>
      </w:r>
    </w:p>
    <w:p w14:paraId="00000011" w14:textId="77777777" w:rsidR="007B5D71" w:rsidRPr="00FD176E" w:rsidRDefault="00D36821" w:rsidP="006C7E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176E">
        <w:rPr>
          <w:rFonts w:ascii="Arial" w:hAnsi="Arial" w:cs="Arial"/>
          <w:color w:val="010000"/>
          <w:sz w:val="20"/>
        </w:rPr>
        <w:t>Southern Airports Services Joint Stock Company divests its investment in Blue Sky Trading Investment Joint Stock Company to recover capital.</w:t>
      </w:r>
    </w:p>
    <w:p w14:paraId="678E1C3A" w14:textId="77777777" w:rsidR="006C7EEA" w:rsidRPr="00FD176E" w:rsidRDefault="006C7E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C7EEA" w:rsidRPr="00FD176E" w:rsidSect="00627F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44E"/>
    <w:multiLevelType w:val="multilevel"/>
    <w:tmpl w:val="F0A21B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71"/>
    <w:rsid w:val="00627F9F"/>
    <w:rsid w:val="006C7EEA"/>
    <w:rsid w:val="007B5D71"/>
    <w:rsid w:val="00D36821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1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9203E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9203E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left="2260"/>
    </w:pPr>
    <w:rPr>
      <w:rFonts w:ascii="Arial" w:eastAsia="Arial" w:hAnsi="Arial" w:cs="Arial"/>
      <w:sz w:val="15"/>
      <w:szCs w:val="15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D9203E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b/>
      <w:bCs/>
      <w:color w:val="D9203E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264" w:lineRule="auto"/>
      <w:ind w:left="1120" w:firstLine="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9203E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9203E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left="2260"/>
    </w:pPr>
    <w:rPr>
      <w:rFonts w:ascii="Arial" w:eastAsia="Arial" w:hAnsi="Arial" w:cs="Arial"/>
      <w:sz w:val="15"/>
      <w:szCs w:val="15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D9203E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b/>
      <w:bCs/>
      <w:color w:val="D9203E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264" w:lineRule="auto"/>
      <w:ind w:left="1120" w:firstLine="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Vo8p50pGtpR7tmdce6+Gopnqg==">CgMxLjA4AHIhMXlIc0RkWlgyUnppRVhYMzdoRWZRR3hmN08xZFVXdS15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2024-07-09T03:46:00Z</dcterms:created>
  <dcterms:modified xsi:type="dcterms:W3CDTF">2024-07-10T08:00:00Z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e33727ba92e63a230eebc87bda2478113b1e1d2249238f9c83558c6c90844349</vt:lpwstr>
  </property>
</Properties>
</file>