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1EFA" w14:textId="12EF17ED" w:rsidR="009A795A" w:rsidRPr="00BB3CAB" w:rsidRDefault="005E556D" w:rsidP="00BB3CAB">
      <w:pPr>
        <w:pStyle w:val="Vnbnnidung0"/>
        <w:tabs>
          <w:tab w:val="left" w:pos="432"/>
          <w:tab w:val="left" w:pos="4842"/>
        </w:tabs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</w:rPr>
      </w:pPr>
      <w:bookmarkStart w:id="0" w:name="_GoBack"/>
      <w:r w:rsidRPr="00BB3CAB">
        <w:rPr>
          <w:rFonts w:ascii="Arial" w:hAnsi="Arial" w:cs="Arial"/>
          <w:b/>
          <w:color w:val="010000"/>
          <w:sz w:val="20"/>
        </w:rPr>
        <w:t xml:space="preserve">VNA: </w:t>
      </w:r>
      <w:r w:rsidRPr="00BB3CAB">
        <w:rPr>
          <w:rFonts w:ascii="Arial" w:hAnsi="Arial" w:cs="Arial"/>
          <w:b/>
          <w:color w:val="010000"/>
          <w:sz w:val="20"/>
          <w:lang w:val="vi-VN"/>
        </w:rPr>
        <w:t>Report on the r</w:t>
      </w:r>
      <w:r w:rsidR="009A795A" w:rsidRPr="00BB3CAB">
        <w:rPr>
          <w:rFonts w:ascii="Arial" w:hAnsi="Arial" w:cs="Arial"/>
          <w:b/>
          <w:color w:val="010000"/>
          <w:sz w:val="20"/>
        </w:rPr>
        <w:t xml:space="preserve">esults of the share issuance </w:t>
      </w:r>
    </w:p>
    <w:p w14:paraId="690C0F2C" w14:textId="1A2C8A7F" w:rsidR="009A795A" w:rsidRPr="00BB3CAB" w:rsidRDefault="009A795A" w:rsidP="00BB3CAB">
      <w:pPr>
        <w:pStyle w:val="Vnbnnidung0"/>
        <w:tabs>
          <w:tab w:val="left" w:pos="432"/>
          <w:tab w:val="left" w:pos="4842"/>
        </w:tabs>
        <w:spacing w:after="120" w:line="360" w:lineRule="auto"/>
        <w:ind w:firstLine="0"/>
        <w:rPr>
          <w:rFonts w:ascii="Arial" w:hAnsi="Arial" w:cs="Arial"/>
          <w:bCs/>
          <w:color w:val="010000"/>
          <w:sz w:val="20"/>
        </w:rPr>
      </w:pPr>
      <w:r w:rsidRPr="00BB3CAB">
        <w:rPr>
          <w:rFonts w:ascii="Arial" w:hAnsi="Arial" w:cs="Arial"/>
          <w:color w:val="010000"/>
          <w:sz w:val="20"/>
        </w:rPr>
        <w:t xml:space="preserve">On July </w:t>
      </w:r>
      <w:r w:rsidR="00BB3CAB" w:rsidRPr="00BB3CAB">
        <w:rPr>
          <w:rFonts w:ascii="Arial" w:hAnsi="Arial" w:cs="Arial"/>
          <w:color w:val="010000"/>
          <w:sz w:val="20"/>
        </w:rPr>
        <w:t>0</w:t>
      </w:r>
      <w:r w:rsidRPr="00BB3CAB">
        <w:rPr>
          <w:rFonts w:ascii="Arial" w:hAnsi="Arial" w:cs="Arial"/>
          <w:color w:val="010000"/>
          <w:sz w:val="20"/>
        </w:rPr>
        <w:t xml:space="preserve">8, 2024, Vinaship Joint Stock Company announced Report </w:t>
      </w:r>
      <w:r w:rsidR="00847A5D" w:rsidRPr="00BB3CAB">
        <w:rPr>
          <w:rFonts w:ascii="Arial" w:hAnsi="Arial" w:cs="Arial"/>
          <w:color w:val="010000"/>
          <w:sz w:val="20"/>
        </w:rPr>
        <w:t xml:space="preserve">No. </w:t>
      </w:r>
      <w:r w:rsidRPr="00BB3CAB">
        <w:rPr>
          <w:rFonts w:ascii="Arial" w:hAnsi="Arial" w:cs="Arial"/>
          <w:color w:val="010000"/>
          <w:sz w:val="20"/>
        </w:rPr>
        <w:t>260/VNS-BC</w:t>
      </w:r>
      <w:r w:rsidR="00A021B1" w:rsidRPr="00BB3CAB">
        <w:rPr>
          <w:rFonts w:ascii="Arial" w:hAnsi="Arial" w:cs="Arial"/>
          <w:color w:val="010000"/>
          <w:sz w:val="20"/>
        </w:rPr>
        <w:t xml:space="preserve"> on the result</w:t>
      </w:r>
      <w:r w:rsidR="00A20AA6" w:rsidRPr="00BB3CAB">
        <w:rPr>
          <w:rFonts w:ascii="Arial" w:hAnsi="Arial" w:cs="Arial"/>
          <w:color w:val="010000"/>
          <w:sz w:val="20"/>
        </w:rPr>
        <w:t xml:space="preserve">s of the share issuance to increase </w:t>
      </w:r>
      <w:r w:rsidR="00B75DA0" w:rsidRPr="00BB3CAB">
        <w:rPr>
          <w:rFonts w:ascii="Arial" w:hAnsi="Arial" w:cs="Arial"/>
          <w:color w:val="010000"/>
          <w:sz w:val="20"/>
        </w:rPr>
        <w:t xml:space="preserve">share </w:t>
      </w:r>
      <w:r w:rsidR="00A20AA6" w:rsidRPr="00BB3CAB">
        <w:rPr>
          <w:rFonts w:ascii="Arial" w:hAnsi="Arial" w:cs="Arial"/>
          <w:color w:val="010000"/>
          <w:sz w:val="20"/>
        </w:rPr>
        <w:t xml:space="preserve">capital </w:t>
      </w:r>
      <w:r w:rsidR="00B75DA0" w:rsidRPr="00BB3CAB">
        <w:rPr>
          <w:rFonts w:ascii="Arial" w:hAnsi="Arial" w:cs="Arial"/>
          <w:color w:val="010000"/>
          <w:sz w:val="20"/>
        </w:rPr>
        <w:t>from the source of owner’s equity</w:t>
      </w:r>
      <w:r w:rsidRPr="00BB3CAB">
        <w:rPr>
          <w:rFonts w:ascii="Arial" w:hAnsi="Arial" w:cs="Arial"/>
          <w:color w:val="010000"/>
          <w:sz w:val="20"/>
        </w:rPr>
        <w:t xml:space="preserve"> as follows:</w:t>
      </w:r>
    </w:p>
    <w:p w14:paraId="0555E89B" w14:textId="01006892" w:rsidR="009A795A" w:rsidRPr="00BB3CAB" w:rsidRDefault="00716CC0" w:rsidP="00BB3CAB">
      <w:pPr>
        <w:pStyle w:val="Vnbnnidung0"/>
        <w:numPr>
          <w:ilvl w:val="0"/>
          <w:numId w:val="8"/>
        </w:numPr>
        <w:tabs>
          <w:tab w:val="left" w:pos="432"/>
          <w:tab w:val="left" w:pos="4842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</w:rPr>
      </w:pPr>
      <w:r w:rsidRPr="00BB3CAB">
        <w:rPr>
          <w:rFonts w:ascii="Arial" w:hAnsi="Arial" w:cs="Arial"/>
          <w:color w:val="010000"/>
          <w:sz w:val="20"/>
        </w:rPr>
        <w:t>Issuance plan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5215"/>
      </w:tblGrid>
      <w:tr w:rsidR="00DD4C03" w:rsidRPr="00BB3CAB" w14:paraId="711EDFF9" w14:textId="77777777" w:rsidTr="00BB3CAB">
        <w:tc>
          <w:tcPr>
            <w:tcW w:w="2108" w:type="pct"/>
            <w:shd w:val="clear" w:color="auto" w:fill="auto"/>
            <w:vAlign w:val="center"/>
          </w:tcPr>
          <w:p w14:paraId="2F289EA5" w14:textId="6FBE207A" w:rsidR="00DD4C03" w:rsidRPr="00BB3CAB" w:rsidRDefault="00B75DA0" w:rsidP="00BB3CAB">
            <w:pPr>
              <w:pStyle w:val="Khc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Share name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445AF968" w14:textId="5F7B033F" w:rsidR="00DD4C03" w:rsidRPr="00BB3CAB" w:rsidRDefault="00B75DA0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5E556D" w:rsidRPr="00BB3CAB">
              <w:rPr>
                <w:rFonts w:ascii="Arial" w:hAnsi="Arial" w:cs="Arial"/>
                <w:color w:val="010000"/>
                <w:sz w:val="20"/>
                <w:lang w:val="vi-VN"/>
              </w:rPr>
              <w:t>Shares</w:t>
            </w:r>
            <w:r w:rsidRPr="00BB3CAB">
              <w:rPr>
                <w:rFonts w:ascii="Arial" w:hAnsi="Arial" w:cs="Arial"/>
                <w:color w:val="010000"/>
                <w:sz w:val="20"/>
              </w:rPr>
              <w:t xml:space="preserve"> of Vinaship Joint Stock Company</w:t>
            </w:r>
          </w:p>
        </w:tc>
      </w:tr>
      <w:tr w:rsidR="00DD4C03" w:rsidRPr="00BB3CAB" w14:paraId="44F57E22" w14:textId="77777777" w:rsidTr="00BB3CAB">
        <w:tc>
          <w:tcPr>
            <w:tcW w:w="2108" w:type="pct"/>
            <w:shd w:val="clear" w:color="auto" w:fill="auto"/>
            <w:vAlign w:val="center"/>
          </w:tcPr>
          <w:p w14:paraId="48834174" w14:textId="0C7184C8" w:rsidR="00DD4C03" w:rsidRPr="00BB3CAB" w:rsidRDefault="00B75DA0" w:rsidP="00BB3CAB">
            <w:pPr>
              <w:pStyle w:val="Khc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Type of share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6E72CB7D" w14:textId="77777777" w:rsidR="00DD4C03" w:rsidRPr="00BB3CAB" w:rsidRDefault="00B75DA0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: Common shares</w:t>
            </w:r>
          </w:p>
        </w:tc>
      </w:tr>
      <w:tr w:rsidR="00DD4C03" w:rsidRPr="00BB3CAB" w14:paraId="012DEBC0" w14:textId="77777777" w:rsidTr="00BB3CAB">
        <w:tc>
          <w:tcPr>
            <w:tcW w:w="5000" w:type="pct"/>
            <w:gridSpan w:val="2"/>
            <w:shd w:val="clear" w:color="auto" w:fill="auto"/>
            <w:vAlign w:val="center"/>
          </w:tcPr>
          <w:p w14:paraId="18F4C4C8" w14:textId="3ED95C7C" w:rsidR="00DD4C03" w:rsidRPr="00BB3CAB" w:rsidRDefault="00B75DA0" w:rsidP="00BB3CAB">
            <w:pPr>
              <w:pStyle w:val="Khc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Number of shares before</w:t>
            </w:r>
            <w:r w:rsidR="005E556D" w:rsidRPr="00BB3CAB">
              <w:rPr>
                <w:rFonts w:ascii="Arial" w:hAnsi="Arial" w:cs="Arial"/>
                <w:color w:val="010000"/>
                <w:sz w:val="20"/>
                <w:lang w:val="vi-VN"/>
              </w:rPr>
              <w:t xml:space="preserve"> the</w:t>
            </w:r>
            <w:r w:rsidRPr="00BB3CAB">
              <w:rPr>
                <w:rFonts w:ascii="Arial" w:hAnsi="Arial" w:cs="Arial"/>
                <w:color w:val="010000"/>
                <w:sz w:val="20"/>
              </w:rPr>
              <w:t xml:space="preserve"> issuance:</w:t>
            </w:r>
          </w:p>
        </w:tc>
      </w:tr>
      <w:tr w:rsidR="00DD4C03" w:rsidRPr="00BB3CAB" w14:paraId="0667C729" w14:textId="77777777" w:rsidTr="00BB3CAB">
        <w:tc>
          <w:tcPr>
            <w:tcW w:w="2108" w:type="pct"/>
            <w:shd w:val="clear" w:color="auto" w:fill="auto"/>
            <w:vAlign w:val="center"/>
          </w:tcPr>
          <w:p w14:paraId="59B9D5FA" w14:textId="15005862" w:rsidR="00DD4C03" w:rsidRPr="00BB3CAB" w:rsidRDefault="00B75DA0" w:rsidP="00BB3CAB">
            <w:pPr>
              <w:pStyle w:val="Khc0"/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Total number of issued shares</w:t>
            </w:r>
            <w:r w:rsidR="005E556D" w:rsidRPr="00BB3CAB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4952BE9F" w14:textId="77777777" w:rsidR="00DD4C03" w:rsidRPr="00BB3CAB" w:rsidRDefault="00B75DA0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: 20,000,000 shares</w:t>
            </w:r>
          </w:p>
        </w:tc>
      </w:tr>
      <w:tr w:rsidR="00DD4C03" w:rsidRPr="00BB3CAB" w14:paraId="173FD288" w14:textId="77777777" w:rsidTr="00BB3CAB">
        <w:tc>
          <w:tcPr>
            <w:tcW w:w="2108" w:type="pct"/>
            <w:shd w:val="clear" w:color="auto" w:fill="auto"/>
            <w:vAlign w:val="center"/>
          </w:tcPr>
          <w:p w14:paraId="56502ADD" w14:textId="125E5EB4" w:rsidR="009A795A" w:rsidRPr="00BB3CAB" w:rsidRDefault="00B75DA0" w:rsidP="00BB3CAB">
            <w:pPr>
              <w:pStyle w:val="Khc0"/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Number of outstanding shares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5C893840" w14:textId="77777777" w:rsidR="00DD4C03" w:rsidRPr="00BB3CAB" w:rsidRDefault="00B75DA0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: 20,000,000 shares</w:t>
            </w:r>
          </w:p>
        </w:tc>
      </w:tr>
      <w:tr w:rsidR="00DD4C03" w:rsidRPr="00BB3CAB" w14:paraId="0226C2BD" w14:textId="77777777" w:rsidTr="00BB3CAB">
        <w:tc>
          <w:tcPr>
            <w:tcW w:w="2108" w:type="pct"/>
            <w:shd w:val="clear" w:color="auto" w:fill="auto"/>
            <w:vAlign w:val="center"/>
          </w:tcPr>
          <w:p w14:paraId="5ED9BC1E" w14:textId="0965F88C" w:rsidR="00DD4C03" w:rsidRPr="00BB3CAB" w:rsidRDefault="00B75DA0" w:rsidP="00BB3CAB">
            <w:pPr>
              <w:pStyle w:val="Khc0"/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Number of treasury s</w:t>
            </w:r>
            <w:r w:rsidR="00A021B1" w:rsidRPr="00BB3CAB">
              <w:rPr>
                <w:rFonts w:ascii="Arial" w:hAnsi="Arial" w:cs="Arial"/>
                <w:color w:val="010000"/>
                <w:sz w:val="20"/>
              </w:rPr>
              <w:t>hares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6212B140" w14:textId="77777777" w:rsidR="00DD4C03" w:rsidRPr="00BB3CAB" w:rsidRDefault="00B75DA0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: 0 shares</w:t>
            </w:r>
          </w:p>
        </w:tc>
      </w:tr>
      <w:tr w:rsidR="009A795A" w:rsidRPr="00BB3CAB" w14:paraId="56DFAEC8" w14:textId="77777777" w:rsidTr="00BB3CAB">
        <w:tc>
          <w:tcPr>
            <w:tcW w:w="2108" w:type="pct"/>
            <w:shd w:val="clear" w:color="auto" w:fill="auto"/>
            <w:vAlign w:val="center"/>
          </w:tcPr>
          <w:p w14:paraId="14CC6EBB" w14:textId="6E72B796" w:rsidR="009A795A" w:rsidRPr="00BB3CAB" w:rsidRDefault="009A795A" w:rsidP="00BB3CAB">
            <w:pPr>
              <w:pStyle w:val="Khc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Expected number of</w:t>
            </w:r>
            <w:r w:rsidR="005E556D" w:rsidRPr="00BB3CAB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="005E556D" w:rsidRPr="00BB3CAB">
              <w:rPr>
                <w:rFonts w:ascii="Arial" w:hAnsi="Arial" w:cs="Arial"/>
                <w:color w:val="010000"/>
                <w:sz w:val="20"/>
              </w:rPr>
              <w:t>offered</w:t>
            </w:r>
            <w:r w:rsidRPr="00BB3CAB">
              <w:rPr>
                <w:rFonts w:ascii="Arial" w:hAnsi="Arial" w:cs="Arial"/>
                <w:color w:val="010000"/>
                <w:sz w:val="20"/>
              </w:rPr>
              <w:t xml:space="preserve"> shares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01C0A752" w14:textId="78F3D7CF" w:rsidR="009A795A" w:rsidRPr="00BB3CAB" w:rsidRDefault="009A795A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 xml:space="preserve">: 14,000,000 shares </w:t>
            </w:r>
          </w:p>
        </w:tc>
      </w:tr>
      <w:tr w:rsidR="009A795A" w:rsidRPr="00BB3CAB" w14:paraId="466E5EDE" w14:textId="77777777" w:rsidTr="00BB3CAB">
        <w:tc>
          <w:tcPr>
            <w:tcW w:w="2108" w:type="pct"/>
            <w:shd w:val="clear" w:color="auto" w:fill="auto"/>
            <w:vAlign w:val="center"/>
          </w:tcPr>
          <w:p w14:paraId="5E411F20" w14:textId="67F8A755" w:rsidR="009A795A" w:rsidRPr="00BB3CAB" w:rsidRDefault="009A795A" w:rsidP="00BB3CAB">
            <w:pPr>
              <w:pStyle w:val="Khc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Rights exercise rate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0353F1C2" w14:textId="2A951642" w:rsidR="009A795A" w:rsidRPr="00BB3CAB" w:rsidRDefault="009A795A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 xml:space="preserve">: 70% (On the record date </w:t>
            </w:r>
            <w:r w:rsidR="005E556D" w:rsidRPr="00BB3CAB">
              <w:rPr>
                <w:rFonts w:ascii="Arial" w:hAnsi="Arial" w:cs="Arial"/>
                <w:color w:val="010000"/>
                <w:sz w:val="20"/>
                <w:lang w:val="vi-VN"/>
              </w:rPr>
              <w:t xml:space="preserve">for </w:t>
            </w:r>
            <w:r w:rsidRPr="00BB3CAB">
              <w:rPr>
                <w:rFonts w:ascii="Arial" w:hAnsi="Arial" w:cs="Arial"/>
                <w:color w:val="010000"/>
                <w:sz w:val="20"/>
              </w:rPr>
              <w:t xml:space="preserve">the list of shareholders </w:t>
            </w:r>
            <w:r w:rsidR="005E556D" w:rsidRPr="00BB3CAB">
              <w:rPr>
                <w:rFonts w:ascii="Arial" w:hAnsi="Arial" w:cs="Arial"/>
                <w:color w:val="010000"/>
                <w:sz w:val="20"/>
                <w:lang w:val="vi-VN"/>
              </w:rPr>
              <w:t xml:space="preserve">to exercise </w:t>
            </w:r>
            <w:r w:rsidRPr="00BB3CAB">
              <w:rPr>
                <w:rFonts w:ascii="Arial" w:hAnsi="Arial" w:cs="Arial"/>
                <w:color w:val="010000"/>
                <w:sz w:val="20"/>
              </w:rPr>
              <w:t>rights, shareholders owning 100 shares will receive 70 new shares)</w:t>
            </w:r>
          </w:p>
        </w:tc>
      </w:tr>
      <w:tr w:rsidR="009A795A" w:rsidRPr="00BB3CAB" w14:paraId="4617C2E7" w14:textId="77777777" w:rsidTr="00BB3CAB">
        <w:tc>
          <w:tcPr>
            <w:tcW w:w="2108" w:type="pct"/>
            <w:shd w:val="clear" w:color="auto" w:fill="auto"/>
            <w:vAlign w:val="center"/>
          </w:tcPr>
          <w:p w14:paraId="133A37C1" w14:textId="2B032AAA" w:rsidR="009A795A" w:rsidRPr="00BB3CAB" w:rsidRDefault="009A795A" w:rsidP="00BB3CAB">
            <w:pPr>
              <w:pStyle w:val="Khc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Capital source for the issuance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3B79AE12" w14:textId="3483A09E" w:rsidR="009A795A" w:rsidRPr="00BB3CAB" w:rsidRDefault="009A795A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: From the source of investment</w:t>
            </w:r>
            <w:r w:rsidR="0077707C" w:rsidRPr="00BB3CAB">
              <w:rPr>
                <w:rFonts w:ascii="Arial" w:hAnsi="Arial" w:cs="Arial"/>
                <w:color w:val="010000"/>
                <w:sz w:val="20"/>
              </w:rPr>
              <w:t xml:space="preserve"> and development fund</w:t>
            </w:r>
            <w:r w:rsidRPr="00BB3CAB">
              <w:rPr>
                <w:rFonts w:ascii="Arial" w:hAnsi="Arial" w:cs="Arial"/>
                <w:color w:val="010000"/>
                <w:sz w:val="20"/>
              </w:rPr>
              <w:t xml:space="preserve"> on December 31, 2023</w:t>
            </w:r>
            <w:r w:rsidR="005E556D" w:rsidRPr="00BB3CAB">
              <w:rPr>
                <w:rFonts w:ascii="Arial" w:hAnsi="Arial" w:cs="Arial"/>
                <w:color w:val="010000"/>
                <w:sz w:val="20"/>
              </w:rPr>
              <w:t>,</w:t>
            </w:r>
            <w:r w:rsidRPr="00BB3CAB">
              <w:rPr>
                <w:rFonts w:ascii="Arial" w:hAnsi="Arial" w:cs="Arial"/>
                <w:color w:val="010000"/>
                <w:sz w:val="20"/>
              </w:rPr>
              <w:t xml:space="preserve"> based on the holding company's Audited Financial Statements 2023.</w:t>
            </w:r>
          </w:p>
        </w:tc>
      </w:tr>
      <w:tr w:rsidR="009A795A" w:rsidRPr="00BB3CAB" w14:paraId="6DD3F926" w14:textId="77777777" w:rsidTr="00BB3CAB">
        <w:tc>
          <w:tcPr>
            <w:tcW w:w="2108" w:type="pct"/>
            <w:shd w:val="clear" w:color="auto" w:fill="auto"/>
            <w:vAlign w:val="center"/>
          </w:tcPr>
          <w:p w14:paraId="1D8900EB" w14:textId="5429AD97" w:rsidR="009A795A" w:rsidRPr="00BB3CAB" w:rsidRDefault="009A795A" w:rsidP="00BB3CAB">
            <w:pPr>
              <w:pStyle w:val="Khc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Pla</w:t>
            </w:r>
            <w:r w:rsidR="005E556D" w:rsidRPr="00BB3CAB">
              <w:rPr>
                <w:rFonts w:ascii="Arial" w:hAnsi="Arial" w:cs="Arial"/>
                <w:color w:val="010000"/>
                <w:sz w:val="20"/>
              </w:rPr>
              <w:t>n on handling fractional shares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61D56CF6" w14:textId="39925D32" w:rsidR="009A795A" w:rsidRPr="00BB3CAB" w:rsidRDefault="009A795A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: The number of shares issued to increase share capital from the</w:t>
            </w:r>
            <w:r w:rsidR="00F72BAE" w:rsidRPr="00BB3CAB">
              <w:rPr>
                <w:rFonts w:ascii="Arial" w:hAnsi="Arial" w:cs="Arial"/>
                <w:color w:val="010000"/>
                <w:sz w:val="20"/>
              </w:rPr>
              <w:t xml:space="preserve"> source of</w:t>
            </w:r>
            <w:r w:rsidR="005E556D" w:rsidRPr="00BB3CA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5E556D" w:rsidRPr="00BB3CAB">
              <w:rPr>
                <w:rFonts w:ascii="Arial" w:hAnsi="Arial" w:cs="Arial"/>
                <w:color w:val="010000"/>
                <w:sz w:val="20"/>
                <w:lang w:val="vi-VN"/>
              </w:rPr>
              <w:t>owners’</w:t>
            </w:r>
            <w:r w:rsidRPr="00BB3CAB">
              <w:rPr>
                <w:rFonts w:ascii="Arial" w:hAnsi="Arial" w:cs="Arial"/>
                <w:color w:val="010000"/>
                <w:sz w:val="20"/>
              </w:rPr>
              <w:t xml:space="preserve"> equity will be rounded to the </w:t>
            </w:r>
            <w:r w:rsidR="005E556D" w:rsidRPr="00BB3CAB">
              <w:rPr>
                <w:rFonts w:ascii="Arial" w:hAnsi="Arial" w:cs="Arial"/>
                <w:color w:val="010000"/>
                <w:sz w:val="20"/>
                <w:lang w:val="vi-VN"/>
              </w:rPr>
              <w:t xml:space="preserve">nearest </w:t>
            </w:r>
            <w:r w:rsidRPr="00BB3CAB">
              <w:rPr>
                <w:rFonts w:ascii="Arial" w:hAnsi="Arial" w:cs="Arial"/>
                <w:color w:val="010000"/>
                <w:sz w:val="20"/>
              </w:rPr>
              <w:t xml:space="preserve">unit. The amount of incurred fractional </w:t>
            </w:r>
            <w:r w:rsidR="005E556D" w:rsidRPr="00BB3CAB">
              <w:rPr>
                <w:rFonts w:ascii="Arial" w:hAnsi="Arial" w:cs="Arial"/>
                <w:color w:val="010000"/>
                <w:sz w:val="20"/>
                <w:lang w:val="vi-VN"/>
              </w:rPr>
              <w:t>shares</w:t>
            </w:r>
            <w:r w:rsidRPr="00BB3CAB">
              <w:rPr>
                <w:rFonts w:ascii="Arial" w:hAnsi="Arial" w:cs="Arial"/>
                <w:color w:val="010000"/>
                <w:sz w:val="20"/>
              </w:rPr>
              <w:t>(if any) will be canceled.</w:t>
            </w:r>
          </w:p>
          <w:p w14:paraId="2BF4EA79" w14:textId="0F44ED5A" w:rsidR="00716CC0" w:rsidRPr="00BB3CAB" w:rsidRDefault="00716CC0" w:rsidP="00BB3CAB">
            <w:pPr>
              <w:pStyle w:val="Vnbnnidung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 xml:space="preserve">For example: If shareholder A owns 103 shares, shareholder A will receive: 103 X 70% = 72.1 shares, the number of shares that shareholder A receives according to the principle of rounding down is 72 shares. 0.1 fractional shares will be </w:t>
            </w:r>
            <w:r w:rsidR="00BB3CAB" w:rsidRPr="00BB3CAB">
              <w:rPr>
                <w:rFonts w:ascii="Arial" w:hAnsi="Arial" w:cs="Arial"/>
                <w:color w:val="010000"/>
                <w:sz w:val="20"/>
              </w:rPr>
              <w:t>canceled</w:t>
            </w:r>
          </w:p>
        </w:tc>
      </w:tr>
      <w:tr w:rsidR="009A795A" w:rsidRPr="00BB3CAB" w14:paraId="0C412417" w14:textId="77777777" w:rsidTr="00BB3CAB">
        <w:tc>
          <w:tcPr>
            <w:tcW w:w="2108" w:type="pct"/>
            <w:shd w:val="clear" w:color="auto" w:fill="auto"/>
            <w:vAlign w:val="center"/>
          </w:tcPr>
          <w:p w14:paraId="780A14CC" w14:textId="749E0861" w:rsidR="009A795A" w:rsidRPr="00BB3CAB" w:rsidRDefault="005E556D" w:rsidP="00BB3CAB">
            <w:pPr>
              <w:pStyle w:val="Khc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  <w:lang w:val="vi-VN"/>
              </w:rPr>
              <w:t>C</w:t>
            </w:r>
            <w:r w:rsidR="00716CC0" w:rsidRPr="00BB3CAB">
              <w:rPr>
                <w:rFonts w:ascii="Arial" w:hAnsi="Arial" w:cs="Arial"/>
                <w:color w:val="010000"/>
                <w:sz w:val="20"/>
              </w:rPr>
              <w:t>ompletion date</w:t>
            </w:r>
            <w:r w:rsidRPr="00BB3CAB">
              <w:rPr>
                <w:rFonts w:ascii="Arial" w:hAnsi="Arial" w:cs="Arial"/>
                <w:color w:val="010000"/>
                <w:sz w:val="20"/>
                <w:lang w:val="vi-VN"/>
              </w:rPr>
              <w:t xml:space="preserve"> of the issuance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35CCC8D3" w14:textId="2123B96E" w:rsidR="009A795A" w:rsidRPr="00BB3CAB" w:rsidRDefault="00716CC0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: July 01, 2024</w:t>
            </w:r>
          </w:p>
        </w:tc>
      </w:tr>
      <w:tr w:rsidR="009A795A" w:rsidRPr="00BB3CAB" w14:paraId="42FE57CB" w14:textId="77777777" w:rsidTr="00BB3CAB">
        <w:tc>
          <w:tcPr>
            <w:tcW w:w="2108" w:type="pct"/>
            <w:shd w:val="clear" w:color="auto" w:fill="auto"/>
            <w:vAlign w:val="center"/>
          </w:tcPr>
          <w:p w14:paraId="3A124D3D" w14:textId="4798005B" w:rsidR="009A795A" w:rsidRPr="00BB3CAB" w:rsidRDefault="00716CC0" w:rsidP="00BB3CAB">
            <w:pPr>
              <w:pStyle w:val="Khc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Expected date of share transfer: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6B29F08E" w14:textId="344A3959" w:rsidR="009A795A" w:rsidRPr="00BB3CAB" w:rsidRDefault="00716CC0" w:rsidP="00BB3CAB">
            <w:pPr>
              <w:pStyle w:val="Khc0"/>
              <w:tabs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BB3CAB">
              <w:rPr>
                <w:rFonts w:ascii="Arial" w:hAnsi="Arial" w:cs="Arial"/>
                <w:color w:val="010000"/>
                <w:sz w:val="20"/>
              </w:rPr>
              <w:t>: July, 2024</w:t>
            </w:r>
          </w:p>
        </w:tc>
      </w:tr>
    </w:tbl>
    <w:p w14:paraId="092BF14C" w14:textId="73DDA0A7" w:rsidR="00DD4C03" w:rsidRPr="00BB3CAB" w:rsidRDefault="00B75DA0" w:rsidP="00BB3CAB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BB3CAB">
        <w:rPr>
          <w:rFonts w:ascii="Arial" w:hAnsi="Arial" w:cs="Arial"/>
          <w:color w:val="010000"/>
          <w:sz w:val="20"/>
        </w:rPr>
        <w:t xml:space="preserve">Results of the share issuance </w:t>
      </w:r>
    </w:p>
    <w:p w14:paraId="75D4A103" w14:textId="77777777" w:rsidR="00DD4C03" w:rsidRPr="00BB3CAB" w:rsidRDefault="00B75DA0" w:rsidP="00BB3CAB">
      <w:pPr>
        <w:pStyle w:val="Vnbnnidung0"/>
        <w:numPr>
          <w:ilvl w:val="0"/>
          <w:numId w:val="2"/>
        </w:numPr>
        <w:tabs>
          <w:tab w:val="left" w:pos="432"/>
          <w:tab w:val="left" w:pos="58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B3CAB">
        <w:rPr>
          <w:rFonts w:ascii="Arial" w:hAnsi="Arial" w:cs="Arial"/>
          <w:color w:val="010000"/>
          <w:sz w:val="20"/>
        </w:rPr>
        <w:t>Total number of distributed shares: 13,999,960 shares, of which:</w:t>
      </w:r>
    </w:p>
    <w:p w14:paraId="0810AAB5" w14:textId="66BA7CF2" w:rsidR="00DD4C03" w:rsidRPr="00BB3CAB" w:rsidRDefault="00B75DA0" w:rsidP="00BB3CAB">
      <w:pPr>
        <w:pStyle w:val="Vnbnnidung0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BB3CAB">
        <w:rPr>
          <w:rFonts w:ascii="Arial" w:hAnsi="Arial" w:cs="Arial"/>
          <w:color w:val="010000"/>
          <w:sz w:val="20"/>
        </w:rPr>
        <w:t>Number of shares distributed to shareholders according to the rate: 13,999,960 shares for 1177 shareholders;</w:t>
      </w:r>
    </w:p>
    <w:p w14:paraId="0271A7AB" w14:textId="07D4056C" w:rsidR="00DD4C03" w:rsidRPr="00BB3CAB" w:rsidRDefault="00B75DA0" w:rsidP="00BB3CAB">
      <w:pPr>
        <w:pStyle w:val="Vnbnnidung0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BB3CAB">
        <w:rPr>
          <w:rFonts w:ascii="Arial" w:hAnsi="Arial" w:cs="Arial"/>
          <w:color w:val="010000"/>
          <w:sz w:val="20"/>
        </w:rPr>
        <w:t>Number of fractional shares handled: 40 shares (</w:t>
      </w:r>
      <w:r w:rsidR="00BB3CAB" w:rsidRPr="00BB3CAB">
        <w:rPr>
          <w:rFonts w:ascii="Arial" w:hAnsi="Arial" w:cs="Arial"/>
          <w:color w:val="010000"/>
          <w:sz w:val="20"/>
        </w:rPr>
        <w:t>canceled</w:t>
      </w:r>
      <w:r w:rsidRPr="00BB3CAB">
        <w:rPr>
          <w:rFonts w:ascii="Arial" w:hAnsi="Arial" w:cs="Arial"/>
          <w:color w:val="010000"/>
          <w:sz w:val="20"/>
        </w:rPr>
        <w:t xml:space="preserve">) </w:t>
      </w:r>
    </w:p>
    <w:p w14:paraId="796B849D" w14:textId="421580E7" w:rsidR="00716CC0" w:rsidRPr="00BB3CAB" w:rsidRDefault="00B75DA0" w:rsidP="00BB3CAB">
      <w:pPr>
        <w:pStyle w:val="Vnbnnidung0"/>
        <w:numPr>
          <w:ilvl w:val="0"/>
          <w:numId w:val="2"/>
        </w:numPr>
        <w:tabs>
          <w:tab w:val="left" w:pos="432"/>
          <w:tab w:val="left" w:pos="618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B3CAB">
        <w:rPr>
          <w:rFonts w:ascii="Arial" w:hAnsi="Arial" w:cs="Arial"/>
          <w:color w:val="010000"/>
          <w:sz w:val="20"/>
        </w:rPr>
        <w:lastRenderedPageBreak/>
        <w:t>Total number of shares after</w:t>
      </w:r>
      <w:r w:rsidR="005E556D" w:rsidRPr="00BB3CAB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BB3CAB">
        <w:rPr>
          <w:rFonts w:ascii="Arial" w:hAnsi="Arial" w:cs="Arial"/>
          <w:color w:val="010000"/>
          <w:sz w:val="20"/>
        </w:rPr>
        <w:t xml:space="preserve"> issuance (July 01, 2024): 33,999,960 shares, of which:</w:t>
      </w:r>
    </w:p>
    <w:p w14:paraId="0DF166A4" w14:textId="4A9B564D" w:rsidR="00DD4C03" w:rsidRPr="00BB3CAB" w:rsidRDefault="00B75DA0" w:rsidP="00BB3CAB">
      <w:pPr>
        <w:pStyle w:val="Vnbnnidung0"/>
        <w:numPr>
          <w:ilvl w:val="0"/>
          <w:numId w:val="7"/>
        </w:numPr>
        <w:tabs>
          <w:tab w:val="left" w:pos="432"/>
          <w:tab w:val="left" w:pos="618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BB3CAB">
        <w:rPr>
          <w:rFonts w:ascii="Arial" w:hAnsi="Arial" w:cs="Arial"/>
          <w:color w:val="010000"/>
          <w:sz w:val="20"/>
        </w:rPr>
        <w:t xml:space="preserve">Number of outstanding </w:t>
      </w:r>
      <w:r w:rsidR="005E556D" w:rsidRPr="00BB3CAB">
        <w:rPr>
          <w:rFonts w:ascii="Arial" w:hAnsi="Arial" w:cs="Arial"/>
          <w:color w:val="010000"/>
          <w:sz w:val="20"/>
          <w:lang w:val="vi-VN"/>
        </w:rPr>
        <w:t>shares:</w:t>
      </w:r>
      <w:r w:rsidRPr="00BB3CAB">
        <w:rPr>
          <w:rFonts w:ascii="Arial" w:hAnsi="Arial" w:cs="Arial"/>
          <w:color w:val="010000"/>
          <w:sz w:val="20"/>
        </w:rPr>
        <w:t xml:space="preserve"> 33,999,960 shares</w:t>
      </w:r>
    </w:p>
    <w:p w14:paraId="355C514B" w14:textId="24CC0561" w:rsidR="00BB3CAB" w:rsidRPr="00BB3CAB" w:rsidRDefault="00B75DA0" w:rsidP="00BB3CAB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BB3CAB">
        <w:rPr>
          <w:rFonts w:ascii="Arial" w:hAnsi="Arial" w:cs="Arial"/>
          <w:color w:val="010000"/>
          <w:sz w:val="20"/>
        </w:rPr>
        <w:t>Number of treasury shares: 0 shares</w:t>
      </w:r>
      <w:bookmarkEnd w:id="0"/>
    </w:p>
    <w:sectPr w:rsidR="00BB3CAB" w:rsidRPr="00BB3CAB" w:rsidSect="00847A5D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61CB" w14:textId="77777777" w:rsidR="00D65AAC" w:rsidRDefault="00D65AAC">
      <w:r>
        <w:separator/>
      </w:r>
    </w:p>
  </w:endnote>
  <w:endnote w:type="continuationSeparator" w:id="0">
    <w:p w14:paraId="173BDD13" w14:textId="77777777" w:rsidR="00D65AAC" w:rsidRDefault="00D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897DE" w14:textId="77777777" w:rsidR="00D65AAC" w:rsidRDefault="00D65AAC"/>
  </w:footnote>
  <w:footnote w:type="continuationSeparator" w:id="0">
    <w:p w14:paraId="1E86974B" w14:textId="77777777" w:rsidR="00D65AAC" w:rsidRDefault="00D65A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7E4A"/>
    <w:multiLevelType w:val="hybridMultilevel"/>
    <w:tmpl w:val="46A0E4A4"/>
    <w:lvl w:ilvl="0" w:tplc="3258A62A">
      <w:start w:val="2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  <w:sz w:val="20"/>
      </w:rPr>
    </w:lvl>
    <w:lvl w:ilvl="1" w:tplc="F6E0B8B0" w:tentative="1">
      <w:start w:val="1"/>
      <w:numFmt w:val="lowerLetter"/>
      <w:lvlText w:val="%2."/>
      <w:lvlJc w:val="left"/>
      <w:pPr>
        <w:ind w:left="1500" w:hanging="360"/>
      </w:pPr>
      <w:rPr>
        <w:b w:val="0"/>
        <w:i w:val="0"/>
        <w:sz w:val="20"/>
      </w:rPr>
    </w:lvl>
    <w:lvl w:ilvl="2" w:tplc="0B482F52" w:tentative="1">
      <w:start w:val="1"/>
      <w:numFmt w:val="lowerRoman"/>
      <w:lvlText w:val="%3."/>
      <w:lvlJc w:val="right"/>
      <w:pPr>
        <w:ind w:left="222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B84520"/>
    <w:multiLevelType w:val="hybridMultilevel"/>
    <w:tmpl w:val="49A4A8EA"/>
    <w:lvl w:ilvl="0" w:tplc="7AE646BC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  <w:sz w:val="20"/>
      </w:rPr>
    </w:lvl>
    <w:lvl w:ilvl="1" w:tplc="20EEC068" w:tentative="1">
      <w:start w:val="1"/>
      <w:numFmt w:val="lowerLetter"/>
      <w:lvlText w:val="%2."/>
      <w:lvlJc w:val="left"/>
      <w:pPr>
        <w:ind w:left="1140" w:hanging="360"/>
      </w:pPr>
      <w:rPr>
        <w:b w:val="0"/>
        <w:i w:val="0"/>
        <w:sz w:val="20"/>
      </w:rPr>
    </w:lvl>
    <w:lvl w:ilvl="2" w:tplc="BC766CF6" w:tentative="1">
      <w:start w:val="1"/>
      <w:numFmt w:val="lowerRoman"/>
      <w:lvlText w:val="%3."/>
      <w:lvlJc w:val="right"/>
      <w:pPr>
        <w:ind w:left="18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607CA9"/>
    <w:multiLevelType w:val="multilevel"/>
    <w:tmpl w:val="7C5C7498"/>
    <w:lvl w:ilvl="0">
      <w:start w:val="4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47CF6"/>
    <w:multiLevelType w:val="hybridMultilevel"/>
    <w:tmpl w:val="5A2A59FC"/>
    <w:lvl w:ilvl="0" w:tplc="551A2E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D182F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B0A3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793D"/>
    <w:multiLevelType w:val="multilevel"/>
    <w:tmpl w:val="5636CF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32328"/>
        <w:spacing w:val="0"/>
        <w:w w:val="100"/>
        <w:position w:val="0"/>
        <w:sz w:val="20"/>
        <w:szCs w:val="26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DE14FE"/>
    <w:multiLevelType w:val="hybridMultilevel"/>
    <w:tmpl w:val="D59443C4"/>
    <w:lvl w:ilvl="0" w:tplc="75F0DD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BB2AD85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6F56B6D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637D"/>
    <w:multiLevelType w:val="hybridMultilevel"/>
    <w:tmpl w:val="6AB88EB0"/>
    <w:lvl w:ilvl="0" w:tplc="F1A4A8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CC846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544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D5D73"/>
    <w:multiLevelType w:val="hybridMultilevel"/>
    <w:tmpl w:val="3F06386C"/>
    <w:lvl w:ilvl="0" w:tplc="4A4CB16C">
      <w:start w:val="1"/>
      <w:numFmt w:val="upperRoman"/>
      <w:lvlText w:val="%1I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03"/>
    <w:rsid w:val="0010477B"/>
    <w:rsid w:val="004C6B04"/>
    <w:rsid w:val="005E556D"/>
    <w:rsid w:val="00716CC0"/>
    <w:rsid w:val="00755B2B"/>
    <w:rsid w:val="0077707C"/>
    <w:rsid w:val="008262FE"/>
    <w:rsid w:val="00847A5D"/>
    <w:rsid w:val="009103DE"/>
    <w:rsid w:val="009A795A"/>
    <w:rsid w:val="00A021B1"/>
    <w:rsid w:val="00A20AA6"/>
    <w:rsid w:val="00B75DA0"/>
    <w:rsid w:val="00BB3CAB"/>
    <w:rsid w:val="00D65AAC"/>
    <w:rsid w:val="00DD4C03"/>
    <w:rsid w:val="00EE3EE6"/>
    <w:rsid w:val="00F4343D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B3D52"/>
  <w15:docId w15:val="{C2E9F2D1-CEDA-4E5F-8452-75CB2B8B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8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8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60"/>
    </w:pPr>
    <w:rPr>
      <w:rFonts w:ascii="Times New Roman" w:eastAsia="Times New Roman" w:hAnsi="Times New Roman" w:cs="Times New Roman"/>
      <w:color w:val="232328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57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310" w:lineRule="auto"/>
      <w:ind w:firstLine="60"/>
    </w:pPr>
    <w:rPr>
      <w:rFonts w:ascii="Times New Roman" w:eastAsia="Times New Roman" w:hAnsi="Times New Roman" w:cs="Times New Roman"/>
      <w:color w:val="232328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ind w:firstLine="54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1590</Characters>
  <Application>Microsoft Office Word</Application>
  <DocSecurity>0</DocSecurity>
  <Lines>46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13</cp:revision>
  <dcterms:created xsi:type="dcterms:W3CDTF">2024-07-09T03:26:00Z</dcterms:created>
  <dcterms:modified xsi:type="dcterms:W3CDTF">2024-07-10T01:40:00Z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4ed9efa57726107a4a0d22b06c6a0564a1812ee4115546ca7d644991e83ff319</vt:lpwstr>
  </property>
</Properties>
</file>