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70A49" w14:textId="77777777" w:rsidR="0059649F" w:rsidRDefault="003476E0" w:rsidP="006678F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GLT: Annual General Mandate 2024</w:t>
      </w:r>
    </w:p>
    <w:p w14:paraId="64426E01" w14:textId="2DF54CBF" w:rsidR="0059649F" w:rsidRDefault="003476E0" w:rsidP="006678F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On July 2, 2024, Global Electrical Technology Corp.</w:t>
      </w:r>
      <w:r>
        <w:rPr>
          <w:rFonts w:ascii="Arial" w:hAnsi="Arial"/>
          <w:sz w:val="20"/>
          <w:lang w:val="vi-VN"/>
        </w:rPr>
        <w:t xml:space="preserve"> </w:t>
      </w:r>
      <w:r>
        <w:rPr>
          <w:rFonts w:ascii="Arial" w:hAnsi="Arial"/>
          <w:sz w:val="20"/>
        </w:rPr>
        <w:t xml:space="preserve">announced General </w:t>
      </w:r>
      <w:bookmarkStart w:id="0" w:name="_GoBack"/>
      <w:bookmarkEnd w:id="0"/>
      <w:r>
        <w:rPr>
          <w:rFonts w:ascii="Arial" w:hAnsi="Arial"/>
          <w:sz w:val="20"/>
        </w:rPr>
        <w:t xml:space="preserve">Mandate as follows: </w:t>
      </w:r>
    </w:p>
    <w:p w14:paraId="6383143F" w14:textId="77777777" w:rsidR="0059649F" w:rsidRDefault="003476E0" w:rsidP="006678F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‎‎Article 1. Approve the Consolidated Financial Statements 2023.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1689"/>
        <w:gridCol w:w="1399"/>
        <w:gridCol w:w="1410"/>
        <w:gridCol w:w="1232"/>
      </w:tblGrid>
      <w:tr w:rsidR="0059649F" w14:paraId="702C5142" w14:textId="77777777">
        <w:tc>
          <w:tcPr>
            <w:tcW w:w="32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ACA6B4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Targets</w:t>
            </w:r>
          </w:p>
        </w:tc>
        <w:tc>
          <w:tcPr>
            <w:tcW w:w="1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841DDC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Unit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7A4BED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Plan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BF961F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Results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EEE0A1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Rate</w:t>
            </w:r>
          </w:p>
        </w:tc>
      </w:tr>
      <w:tr w:rsidR="0059649F" w14:paraId="644E8655" w14:textId="77777777">
        <w:tc>
          <w:tcPr>
            <w:tcW w:w="32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3649D5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Consolidated net revenue</w:t>
            </w:r>
          </w:p>
        </w:tc>
        <w:tc>
          <w:tcPr>
            <w:tcW w:w="1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BB7023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Billion VND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C996A8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292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A55764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83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165F30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28.4%</w:t>
            </w:r>
          </w:p>
        </w:tc>
      </w:tr>
      <w:tr w:rsidR="0059649F" w14:paraId="53640CCE" w14:textId="77777777">
        <w:tc>
          <w:tcPr>
            <w:tcW w:w="32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84592D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Consolidated profit after tax of shareholders of holding company</w:t>
            </w:r>
          </w:p>
        </w:tc>
        <w:tc>
          <w:tcPr>
            <w:tcW w:w="1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5DD535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Billion VND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C9457E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18.5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7BDA8C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5.2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7C1CA7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28.1%</w:t>
            </w:r>
          </w:p>
        </w:tc>
      </w:tr>
      <w:tr w:rsidR="0059649F" w14:paraId="1E9EE190" w14:textId="77777777">
        <w:tc>
          <w:tcPr>
            <w:tcW w:w="32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4C2862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EPS/Shares</w:t>
            </w:r>
          </w:p>
        </w:tc>
        <w:tc>
          <w:tcPr>
            <w:tcW w:w="1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B60082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VND/share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3E4AF4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1.500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CE304F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554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200CFC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36.9%</w:t>
            </w:r>
          </w:p>
        </w:tc>
      </w:tr>
    </w:tbl>
    <w:p w14:paraId="504005C3" w14:textId="77777777" w:rsidR="0059649F" w:rsidRDefault="0059649F" w:rsidP="006678F7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4329E960" w14:textId="77777777" w:rsidR="0059649F" w:rsidRDefault="003476E0" w:rsidP="006678F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‎‎Article 2. Approve the appropriation and use of bonus and welfare funds from 2023 profits as follows: </w:t>
      </w:r>
    </w:p>
    <w:p w14:paraId="39EAD20E" w14:textId="77777777" w:rsidR="0059649F" w:rsidRDefault="003476E0" w:rsidP="006678F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Unit: Million VND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33"/>
        <w:gridCol w:w="3484"/>
      </w:tblGrid>
      <w:tr w:rsidR="0059649F" w14:paraId="64A221CC" w14:textId="77777777">
        <w:tc>
          <w:tcPr>
            <w:tcW w:w="55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893630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Items</w:t>
            </w:r>
          </w:p>
        </w:tc>
        <w:tc>
          <w:tcPr>
            <w:tcW w:w="34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F06D69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Amount</w:t>
            </w:r>
          </w:p>
        </w:tc>
      </w:tr>
      <w:tr w:rsidR="0059649F" w14:paraId="6683D0FC" w14:textId="77777777">
        <w:tc>
          <w:tcPr>
            <w:tcW w:w="55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F76D7B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Opening balance (as of April 1, 2023)</w:t>
            </w:r>
          </w:p>
        </w:tc>
        <w:tc>
          <w:tcPr>
            <w:tcW w:w="34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2FEC2A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2,136</w:t>
            </w:r>
          </w:p>
        </w:tc>
      </w:tr>
      <w:tr w:rsidR="0059649F" w14:paraId="4D1FCD7E" w14:textId="77777777">
        <w:tc>
          <w:tcPr>
            <w:tcW w:w="55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F5498F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Appropriation from the profits of the holding company</w:t>
            </w:r>
          </w:p>
        </w:tc>
        <w:tc>
          <w:tcPr>
            <w:tcW w:w="34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13D004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59649F" w14:paraId="589A6AC6" w14:textId="77777777">
        <w:tc>
          <w:tcPr>
            <w:tcW w:w="55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B42C6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Other increases</w:t>
            </w:r>
          </w:p>
        </w:tc>
        <w:tc>
          <w:tcPr>
            <w:tcW w:w="34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DD9B45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</w:tr>
      <w:tr w:rsidR="0059649F" w14:paraId="6F46A1F3" w14:textId="77777777">
        <w:tc>
          <w:tcPr>
            <w:tcW w:w="55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FF1D6D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Transfer fund to ITD</w:t>
            </w:r>
          </w:p>
        </w:tc>
        <w:tc>
          <w:tcPr>
            <w:tcW w:w="34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189CDC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(105)</w:t>
            </w:r>
          </w:p>
        </w:tc>
      </w:tr>
      <w:tr w:rsidR="0059649F" w14:paraId="19853A38" w14:textId="77777777">
        <w:tc>
          <w:tcPr>
            <w:tcW w:w="55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BFD50D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Utilized during the period</w:t>
            </w:r>
          </w:p>
        </w:tc>
        <w:tc>
          <w:tcPr>
            <w:tcW w:w="34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5D0B3E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(782)</w:t>
            </w:r>
          </w:p>
        </w:tc>
      </w:tr>
      <w:tr w:rsidR="0059649F" w14:paraId="48FA2243" w14:textId="77777777">
        <w:tc>
          <w:tcPr>
            <w:tcW w:w="55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173104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Closing balance (as of March 31, 2024)</w:t>
            </w:r>
          </w:p>
        </w:tc>
        <w:tc>
          <w:tcPr>
            <w:tcW w:w="34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C0228C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1,285</w:t>
            </w:r>
          </w:p>
        </w:tc>
      </w:tr>
    </w:tbl>
    <w:p w14:paraId="3F01302B" w14:textId="77777777" w:rsidR="0059649F" w:rsidRDefault="003476E0" w:rsidP="006678F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‎‎Article 3. Approve the dividend rate 2023 of 10% in cash.</w:t>
      </w:r>
    </w:p>
    <w:p w14:paraId="2BA1B491" w14:textId="77777777" w:rsidR="0059649F" w:rsidRDefault="003476E0" w:rsidP="006678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2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Capital source: Taken from undistributed profit after tax according to audited Financial Statements for the fiscal year ending March 31, 2024.</w:t>
      </w:r>
    </w:p>
    <w:p w14:paraId="7598FB6F" w14:textId="77777777" w:rsidR="0059649F" w:rsidRDefault="003476E0" w:rsidP="006678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2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Payment time: Authorize the Board of Directors to decide on a specific time and conduct information disclosure according to regulations.</w:t>
      </w:r>
    </w:p>
    <w:p w14:paraId="08F2CC96" w14:textId="77777777" w:rsidR="0059649F" w:rsidRDefault="003476E0" w:rsidP="006678F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‎‎Article 4. Approve the authorization for the current Board of Supervisors to select an independent audit company to audit the company's Financial Statements 2024. </w:t>
      </w:r>
    </w:p>
    <w:p w14:paraId="659F4253" w14:textId="77777777" w:rsidR="0059649F" w:rsidRDefault="003476E0" w:rsidP="006678F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Article 5. Decide on the plan for the company's fiscal year in 2024 with the following financial targets: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0"/>
        <w:gridCol w:w="2817"/>
      </w:tblGrid>
      <w:tr w:rsidR="0059649F" w14:paraId="0B1378C4" w14:textId="77777777">
        <w:tc>
          <w:tcPr>
            <w:tcW w:w="62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C04DF5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Targets</w:t>
            </w:r>
          </w:p>
        </w:tc>
        <w:tc>
          <w:tcPr>
            <w:tcW w:w="28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7B87BF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Plan</w:t>
            </w:r>
          </w:p>
        </w:tc>
      </w:tr>
      <w:tr w:rsidR="0059649F" w14:paraId="080E31B7" w14:textId="77777777">
        <w:tc>
          <w:tcPr>
            <w:tcW w:w="62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0CAA88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Consolidated net revenue</w:t>
            </w:r>
          </w:p>
        </w:tc>
        <w:tc>
          <w:tcPr>
            <w:tcW w:w="28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F6E724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VND300 billion</w:t>
            </w:r>
          </w:p>
        </w:tc>
      </w:tr>
      <w:tr w:rsidR="0059649F" w14:paraId="76E53A46" w14:textId="77777777">
        <w:tc>
          <w:tcPr>
            <w:tcW w:w="62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95E098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Consolidated profit after tax of shareholders of holding company</w:t>
            </w:r>
          </w:p>
        </w:tc>
        <w:tc>
          <w:tcPr>
            <w:tcW w:w="28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D5FA04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VND17.5 billion</w:t>
            </w:r>
          </w:p>
        </w:tc>
      </w:tr>
      <w:tr w:rsidR="0059649F" w14:paraId="02CC0022" w14:textId="77777777">
        <w:tc>
          <w:tcPr>
            <w:tcW w:w="62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F992EE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Expected dividend payment in 2024</w:t>
            </w:r>
          </w:p>
        </w:tc>
        <w:tc>
          <w:tcPr>
            <w:tcW w:w="28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8685E8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15%</w:t>
            </w:r>
          </w:p>
        </w:tc>
      </w:tr>
    </w:tbl>
    <w:p w14:paraId="672DCC93" w14:textId="77777777" w:rsidR="0059649F" w:rsidRDefault="0059649F" w:rsidP="006678F7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30E1465" w14:textId="77777777" w:rsidR="0059649F" w:rsidRDefault="003476E0" w:rsidP="006678F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>‎‎Article 6. Agree to adjust the basic remuneration level of the Board of Directors to applied from July 1, 2024 as follows:</w:t>
      </w:r>
    </w:p>
    <w:p w14:paraId="2E31543D" w14:textId="77777777" w:rsidR="0059649F" w:rsidRDefault="003476E0" w:rsidP="006678F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Unit: VND/month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2494"/>
        <w:gridCol w:w="2420"/>
      </w:tblGrid>
      <w:tr w:rsidR="0059649F" w14:paraId="0BBDF7C7" w14:textId="77777777">
        <w:tc>
          <w:tcPr>
            <w:tcW w:w="41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797111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The Boards</w:t>
            </w:r>
          </w:p>
        </w:tc>
        <w:tc>
          <w:tcPr>
            <w:tcW w:w="24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F368E7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According to the General Mandate 2021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0C2396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New proposal</w:t>
            </w:r>
          </w:p>
        </w:tc>
      </w:tr>
      <w:tr w:rsidR="0059649F" w14:paraId="782F2EC8" w14:textId="77777777">
        <w:tc>
          <w:tcPr>
            <w:tcW w:w="41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D74F4F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Chair of the Board of Directors</w:t>
            </w:r>
          </w:p>
        </w:tc>
        <w:tc>
          <w:tcPr>
            <w:tcW w:w="24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0A3E27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6,000,000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FF1756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8,000,000</w:t>
            </w:r>
          </w:p>
        </w:tc>
      </w:tr>
      <w:tr w:rsidR="0059649F" w14:paraId="7D3CBD89" w14:textId="77777777">
        <w:tc>
          <w:tcPr>
            <w:tcW w:w="41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22A81D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Vice Chair of the Board of Directors</w:t>
            </w:r>
          </w:p>
        </w:tc>
        <w:tc>
          <w:tcPr>
            <w:tcW w:w="24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984B4E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8DE952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7,000,000</w:t>
            </w:r>
          </w:p>
        </w:tc>
      </w:tr>
      <w:tr w:rsidR="0059649F" w14:paraId="7B505E86" w14:textId="77777777">
        <w:tc>
          <w:tcPr>
            <w:tcW w:w="41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402D4D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Members of the Board of Directors (Independent)</w:t>
            </w:r>
          </w:p>
        </w:tc>
        <w:tc>
          <w:tcPr>
            <w:tcW w:w="24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16B878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5,000,000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AF90BC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7,000,000</w:t>
            </w:r>
          </w:p>
        </w:tc>
      </w:tr>
      <w:tr w:rsidR="0059649F" w14:paraId="23D0EF9A" w14:textId="77777777">
        <w:tc>
          <w:tcPr>
            <w:tcW w:w="41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473FE7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Members of the Board of Directors (Non-independent)</w:t>
            </w:r>
          </w:p>
        </w:tc>
        <w:tc>
          <w:tcPr>
            <w:tcW w:w="24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6B591C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4,000,000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4658FF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6,000,000</w:t>
            </w:r>
          </w:p>
        </w:tc>
      </w:tr>
      <w:tr w:rsidR="0059649F" w14:paraId="1C0E01CC" w14:textId="77777777">
        <w:tc>
          <w:tcPr>
            <w:tcW w:w="41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84ACEE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Chief of the Supervisory Board</w:t>
            </w:r>
          </w:p>
        </w:tc>
        <w:tc>
          <w:tcPr>
            <w:tcW w:w="24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EAF2F6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4,000,000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77B2AA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6,000,000</w:t>
            </w:r>
          </w:p>
        </w:tc>
      </w:tr>
      <w:tr w:rsidR="0059649F" w14:paraId="73980445" w14:textId="77777777">
        <w:tc>
          <w:tcPr>
            <w:tcW w:w="41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67A103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Supervisory Board</w:t>
            </w:r>
          </w:p>
        </w:tc>
        <w:tc>
          <w:tcPr>
            <w:tcW w:w="24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98C8E2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2,500,000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5F42F2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4,000,000</w:t>
            </w:r>
          </w:p>
        </w:tc>
      </w:tr>
      <w:tr w:rsidR="0059649F" w14:paraId="491E3677" w14:textId="77777777">
        <w:tc>
          <w:tcPr>
            <w:tcW w:w="41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E8D16A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Company’s Secretariat</w:t>
            </w:r>
          </w:p>
        </w:tc>
        <w:tc>
          <w:tcPr>
            <w:tcW w:w="24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B69D35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2,000,000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B9E1F4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3,000,000</w:t>
            </w:r>
          </w:p>
        </w:tc>
      </w:tr>
      <w:tr w:rsidR="0059649F" w14:paraId="59A9991E" w14:textId="77777777">
        <w:tc>
          <w:tcPr>
            <w:tcW w:w="41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1C5191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Meeting remuneration (VND/session)</w:t>
            </w:r>
          </w:p>
        </w:tc>
        <w:tc>
          <w:tcPr>
            <w:tcW w:w="24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71F575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300,000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E22B73" w14:textId="77777777" w:rsidR="0059649F" w:rsidRDefault="003476E0" w:rsidP="0066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500,000</w:t>
            </w:r>
          </w:p>
        </w:tc>
      </w:tr>
    </w:tbl>
    <w:p w14:paraId="475C350E" w14:textId="02C4B5C7" w:rsidR="0059649F" w:rsidRDefault="003476E0" w:rsidP="006678F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‎‎Article 7. Approve on</w:t>
      </w:r>
      <w:r>
        <w:rPr>
          <w:rFonts w:ascii="Arial" w:hAnsi="Arial"/>
          <w:sz w:val="20"/>
          <w:lang w:val="vi-VN"/>
        </w:rPr>
        <w:t xml:space="preserve"> </w:t>
      </w:r>
      <w:r>
        <w:rPr>
          <w:rFonts w:ascii="Arial" w:hAnsi="Arial"/>
          <w:sz w:val="20"/>
        </w:rPr>
        <w:t xml:space="preserve">adjusting in contents, clarifying business lines according to the Proposal and authorizing the Board of Directors to complete procedures for registering changes in professions according to regulations. </w:t>
      </w:r>
    </w:p>
    <w:p w14:paraId="376C3846" w14:textId="77777777" w:rsidR="0059649F" w:rsidRDefault="003476E0" w:rsidP="006678F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‎‎Article 8. Approve the amended and supplemented contents of the Company's Charter according to the Proposal and Full Document.</w:t>
      </w:r>
    </w:p>
    <w:p w14:paraId="4DB79545" w14:textId="77777777" w:rsidR="0059649F" w:rsidRDefault="003476E0" w:rsidP="006678F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‎‎Article 9. Approve the contents of the Internal Regulations on corporate governance amended and supplemented according to the Proposal and Full Document.</w:t>
      </w:r>
    </w:p>
    <w:p w14:paraId="16E6489E" w14:textId="79B278D0" w:rsidR="0059649F" w:rsidRDefault="003476E0" w:rsidP="006678F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‎‎Article 10. Approve the resignation letter of the</w:t>
      </w:r>
      <w:r>
        <w:rPr>
          <w:rFonts w:ascii="Arial" w:hAnsi="Arial"/>
          <w:sz w:val="20"/>
          <w:lang w:val="vi-VN"/>
        </w:rPr>
        <w:t xml:space="preserve"> </w:t>
      </w:r>
      <w:r>
        <w:rPr>
          <w:rFonts w:ascii="Arial" w:hAnsi="Arial"/>
          <w:sz w:val="20"/>
        </w:rPr>
        <w:t>Chair of the Board of Directors of Mr. Nguyen Vinh Thuan effective from June 28, 2024.</w:t>
      </w:r>
    </w:p>
    <w:p w14:paraId="1B7C92FE" w14:textId="77777777" w:rsidR="0059649F" w:rsidRDefault="003476E0" w:rsidP="006678F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‎‎Article 12. Approve the additional election of Mr. Nguyen Ngoc Trung as a member of the Board of Directors for the term 2022 - 2026.</w:t>
      </w:r>
    </w:p>
    <w:p w14:paraId="151FD997" w14:textId="5CF90C1C" w:rsidR="0059649F" w:rsidRDefault="003476E0" w:rsidP="006678F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Hence, members of the Board of Directors for the term 2022 - 2026 are as follows:</w:t>
      </w:r>
    </w:p>
    <w:p w14:paraId="01EB3BFE" w14:textId="77777777" w:rsidR="0059649F" w:rsidRDefault="003476E0" w:rsidP="006678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7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Ms. Doan Thi Bich Ngoc</w:t>
      </w:r>
    </w:p>
    <w:p w14:paraId="38693359" w14:textId="77777777" w:rsidR="0059649F" w:rsidRDefault="003476E0" w:rsidP="006678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7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Mr. Nguyen Ngoc Trung</w:t>
      </w:r>
    </w:p>
    <w:p w14:paraId="36E3C064" w14:textId="77777777" w:rsidR="0059649F" w:rsidRDefault="003476E0" w:rsidP="006678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7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Mr. Lam Thieu Quan</w:t>
      </w:r>
    </w:p>
    <w:p w14:paraId="5A588BC0" w14:textId="77777777" w:rsidR="0059649F" w:rsidRDefault="003476E0" w:rsidP="006678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7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Mr. Nguyen Huu Dung</w:t>
      </w:r>
    </w:p>
    <w:p w14:paraId="11F63346" w14:textId="77777777" w:rsidR="0059649F" w:rsidRDefault="003476E0" w:rsidP="006678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7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Mr. Mai Tuan Tu</w:t>
      </w:r>
    </w:p>
    <w:p w14:paraId="2D19B4D6" w14:textId="0B198072" w:rsidR="0059649F" w:rsidRDefault="003476E0" w:rsidP="006678F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>‎‎Article 13. The Board of Directors, the</w:t>
      </w:r>
      <w:r>
        <w:rPr>
          <w:rFonts w:ascii="Arial" w:hAnsi="Arial"/>
          <w:sz w:val="20"/>
          <w:lang w:val="vi-VN"/>
        </w:rPr>
        <w:t xml:space="preserve"> </w:t>
      </w:r>
      <w:r>
        <w:rPr>
          <w:rFonts w:ascii="Arial" w:hAnsi="Arial"/>
          <w:sz w:val="20"/>
        </w:rPr>
        <w:t>Supervisory Board and the</w:t>
      </w:r>
      <w:r>
        <w:rPr>
          <w:rFonts w:ascii="Arial" w:hAnsi="Arial"/>
          <w:sz w:val="20"/>
          <w:lang w:val="vi-VN"/>
        </w:rPr>
        <w:t xml:space="preserve"> </w:t>
      </w:r>
      <w:r>
        <w:rPr>
          <w:rFonts w:ascii="Arial" w:hAnsi="Arial"/>
          <w:sz w:val="20"/>
        </w:rPr>
        <w:t xml:space="preserve">General Manager are responsible for implementing the contents of this General Mandate. </w:t>
      </w:r>
    </w:p>
    <w:p w14:paraId="4E3B3641" w14:textId="77777777" w:rsidR="0059649F" w:rsidRDefault="003476E0" w:rsidP="006678F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‎‎Article 14. This General Mandate takes effect from the date of its signing.</w:t>
      </w:r>
    </w:p>
    <w:p w14:paraId="509D4483" w14:textId="77777777" w:rsidR="0059649F" w:rsidRDefault="0059649F" w:rsidP="006678F7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heading=h.gjdgxs"/>
      <w:bookmarkEnd w:id="1"/>
    </w:p>
    <w:sectPr w:rsidR="0059649F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D44E4"/>
    <w:multiLevelType w:val="multilevel"/>
    <w:tmpl w:val="47E2FEC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C347AA1"/>
    <w:multiLevelType w:val="multilevel"/>
    <w:tmpl w:val="6BEEE238"/>
    <w:lvl w:ilvl="0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9F"/>
    <w:rsid w:val="003476E0"/>
    <w:rsid w:val="0059649F"/>
    <w:rsid w:val="0066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F4CF9"/>
  <w15:docId w15:val="{28B15D8A-0785-4CC7-AD26-EFBF2FB8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00"/>
      <w:szCs w:val="10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Arial" w:eastAsia="Arial" w:hAnsi="Arial" w:cs="Arial"/>
      <w:sz w:val="100"/>
      <w:szCs w:val="100"/>
    </w:rPr>
  </w:style>
  <w:style w:type="paragraph" w:customStyle="1" w:styleId="Bodytext30">
    <w:name w:val="Body text (3)"/>
    <w:basedOn w:val="Normal"/>
    <w:link w:val="Bodytext3"/>
    <w:pPr>
      <w:spacing w:line="230" w:lineRule="auto"/>
      <w:jc w:val="right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30" w:lineRule="auto"/>
      <w:ind w:left="2420"/>
      <w:jc w:val="right"/>
    </w:pPr>
    <w:rPr>
      <w:rFonts w:ascii="Arial" w:eastAsia="Arial" w:hAnsi="Arial" w:cs="Arial"/>
      <w:sz w:val="19"/>
      <w:szCs w:val="19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qFormat/>
    <w:pPr>
      <w:spacing w:line="40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spacing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pPr>
      <w:spacing w:line="40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1DwkX+mCmTmPE5BjPVZnFrE5BQ==">CgMxLjAyCGguZ2pkZ3hzOAByITE0eEtGaVV4bjV4aVN6WTZVOXl4VXJpUEdTTDJ4SXNadA==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Hoang Phuong Thao</cp:lastModifiedBy>
  <cp:revision>3</cp:revision>
  <dcterms:created xsi:type="dcterms:W3CDTF">2024-07-09T07:49:00Z</dcterms:created>
  <dcterms:modified xsi:type="dcterms:W3CDTF">2024-07-11T02:20:00Z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93728ad31acc0334838b37a0cec20abe8d919437b0277743410387c47a91687d</vt:lpwstr>
  </property>
</Properties>
</file>