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20" w:rsidRPr="00467C1B" w:rsidRDefault="00262258" w:rsidP="008A4E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TN1122016: Report on</w:t>
      </w:r>
      <w:r w:rsidR="00467C1B" w:rsidRPr="00467C1B">
        <w:rPr>
          <w:rFonts w:ascii="Arial" w:hAnsi="Arial" w:cs="Arial"/>
          <w:b/>
          <w:color w:val="010000"/>
          <w:sz w:val="20"/>
        </w:rPr>
        <w:t xml:space="preserve"> payment of bond principal and interest</w:t>
      </w:r>
      <w:r>
        <w:rPr>
          <w:rFonts w:ascii="Arial" w:hAnsi="Arial" w:cs="Arial"/>
          <w:b/>
          <w:color w:val="010000"/>
          <w:sz w:val="20"/>
        </w:rPr>
        <w:t xml:space="preserve"> from January 01, 2024 through June 30, 2024</w:t>
      </w:r>
    </w:p>
    <w:p w:rsidR="00866A20" w:rsidRPr="00467C1B" w:rsidRDefault="00467C1B" w:rsidP="008A4E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7C1B">
        <w:rPr>
          <w:rFonts w:ascii="Arial" w:hAnsi="Arial" w:cs="Arial"/>
          <w:color w:val="010000"/>
          <w:sz w:val="20"/>
        </w:rPr>
        <w:t>On July 09, 2024, TNS Holdings Service Trading Joint Stock Company announced Report No. 72/2024CV-ROXKEY on the payment of principal and interest of corporate bonds as follows:</w:t>
      </w:r>
    </w:p>
    <w:p w:rsidR="00866A20" w:rsidRPr="00467C1B" w:rsidRDefault="00467C1B" w:rsidP="008A4E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7C1B">
        <w:rPr>
          <w:rFonts w:ascii="Arial" w:hAnsi="Arial" w:cs="Arial"/>
          <w:color w:val="010000"/>
          <w:sz w:val="20"/>
        </w:rPr>
        <w:t xml:space="preserve">Report on payment of bond principal and interest </w:t>
      </w:r>
    </w:p>
    <w:p w:rsidR="00866A20" w:rsidRPr="00467C1B" w:rsidRDefault="00467C1B" w:rsidP="008A4E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7C1B">
        <w:rPr>
          <w:rFonts w:ascii="Arial" w:hAnsi="Arial" w:cs="Arial"/>
          <w:color w:val="010000"/>
          <w:sz w:val="20"/>
        </w:rPr>
        <w:t xml:space="preserve">(Reporting period from January 1, 2024 </w:t>
      </w:r>
      <w:r w:rsidR="00262258">
        <w:rPr>
          <w:rFonts w:ascii="Arial" w:hAnsi="Arial" w:cs="Arial"/>
          <w:color w:val="010000"/>
          <w:sz w:val="20"/>
        </w:rPr>
        <w:t>through</w:t>
      </w:r>
      <w:bookmarkStart w:id="0" w:name="_GoBack"/>
      <w:bookmarkEnd w:id="0"/>
      <w:r w:rsidRPr="00467C1B">
        <w:rPr>
          <w:rFonts w:ascii="Arial" w:hAnsi="Arial" w:cs="Arial"/>
          <w:color w:val="010000"/>
          <w:sz w:val="20"/>
        </w:rPr>
        <w:t xml:space="preserve"> June 30, 2024)</w:t>
      </w:r>
    </w:p>
    <w:p w:rsidR="00866A20" w:rsidRPr="00467C1B" w:rsidRDefault="00467C1B" w:rsidP="00467C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7C1B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268"/>
        <w:gridCol w:w="641"/>
        <w:gridCol w:w="411"/>
        <w:gridCol w:w="658"/>
        <w:gridCol w:w="587"/>
        <w:gridCol w:w="1217"/>
        <w:gridCol w:w="1129"/>
        <w:gridCol w:w="631"/>
        <w:gridCol w:w="1129"/>
        <w:gridCol w:w="1217"/>
        <w:gridCol w:w="1129"/>
      </w:tblGrid>
      <w:tr w:rsidR="00866A20" w:rsidRPr="00467C1B" w:rsidTr="00467C1B"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Closing balance</w:t>
            </w:r>
          </w:p>
        </w:tc>
      </w:tr>
      <w:tr w:rsidR="00866A20" w:rsidRPr="00467C1B" w:rsidTr="00467C1B"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866A20" w:rsidRPr="00467C1B" w:rsidTr="00467C1B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TN 1122016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March 15, 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March 15, 2025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490,800,000,000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11,654,146,849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19,822,940,832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490,800,000,000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11,036,949,041</w:t>
            </w:r>
          </w:p>
        </w:tc>
      </w:tr>
    </w:tbl>
    <w:p w:rsidR="00866A20" w:rsidRPr="00467C1B" w:rsidRDefault="00467C1B" w:rsidP="00467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67C1B">
        <w:rPr>
          <w:rFonts w:ascii="Arial" w:hAnsi="Arial" w:cs="Arial"/>
          <w:color w:val="010000"/>
          <w:sz w:val="20"/>
        </w:rPr>
        <w:t>Report on the situatio</w:t>
      </w:r>
      <w:r w:rsidR="008A4EC5">
        <w:rPr>
          <w:rFonts w:ascii="Arial" w:hAnsi="Arial" w:cs="Arial"/>
          <w:color w:val="010000"/>
          <w:sz w:val="20"/>
        </w:rPr>
        <w:t>n of bond holdings by investors</w:t>
      </w:r>
    </w:p>
    <w:p w:rsidR="00866A20" w:rsidRPr="00467C1B" w:rsidRDefault="00467C1B" w:rsidP="00467C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7C1B">
        <w:rPr>
          <w:rFonts w:ascii="Arial" w:hAnsi="Arial" w:cs="Arial"/>
          <w:color w:val="010000"/>
          <w:sz w:val="20"/>
        </w:rPr>
        <w:t>(Reporting period from January 1, 2024 to the end of June 30, 2024)</w:t>
      </w:r>
    </w:p>
    <w:p w:rsidR="00866A20" w:rsidRPr="00467C1B" w:rsidRDefault="00467C1B" w:rsidP="00467C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7C1B">
        <w:rPr>
          <w:rFonts w:ascii="Arial" w:hAnsi="Arial" w:cs="Arial"/>
          <w:color w:val="010000"/>
          <w:sz w:val="20"/>
        </w:rPr>
        <w:t>Unit: VND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1594"/>
        <w:gridCol w:w="1564"/>
        <w:gridCol w:w="738"/>
        <w:gridCol w:w="1695"/>
        <w:gridCol w:w="932"/>
        <w:gridCol w:w="1531"/>
        <w:gridCol w:w="963"/>
      </w:tblGrid>
      <w:tr w:rsidR="00866A20" w:rsidRPr="00467C1B" w:rsidTr="00467C1B"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Changing during the period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Closing balance</w:t>
            </w:r>
          </w:p>
        </w:tc>
      </w:tr>
      <w:tr w:rsidR="00866A20" w:rsidRPr="00467C1B" w:rsidTr="00467C1B"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440,800,000,000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89.81%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10.19%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490,800,000,000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440,800,000,000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89.81%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10.19%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490,800,000,000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b, Investment fund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153,000,000,000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31.17%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183,800,000,000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37.45%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336,800,000,000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68.62%</w:t>
            </w: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10.19%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10.19%</w:t>
            </w: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5,000,000,000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1.02%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5,000,000,000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1.02%</w:t>
            </w: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e) Other organizations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287,800,000,000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58.64%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(188,800,000,000)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-38.47%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99,000,000,000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20.17%</w:t>
            </w: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lastRenderedPageBreak/>
              <w:t>2. Individual investors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10.19%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(50,000,000,000)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-10.19%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50,000,000,000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10.19%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(50,000,000,000)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-10.19%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792"/>
                <w:tab w:val="left" w:pos="80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6A20" w:rsidRPr="00467C1B" w:rsidTr="00467C1B"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490,800,000,000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866A20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490,800,000,000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A20" w:rsidRPr="00467C1B" w:rsidRDefault="00467C1B" w:rsidP="00467C1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67C1B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:rsidR="00866A20" w:rsidRPr="00467C1B" w:rsidRDefault="00467C1B" w:rsidP="008A4E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949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467C1B">
        <w:rPr>
          <w:rFonts w:ascii="Arial" w:hAnsi="Arial" w:cs="Arial"/>
          <w:color w:val="010000"/>
          <w:sz w:val="20"/>
        </w:rPr>
        <w:t xml:space="preserve">Note: Closing balance: The data is based on the General list of securities owners receiving bond interest prepared by Vietnam Securities Depository and Clearing Company recorded on March 6, 2024. </w:t>
      </w:r>
    </w:p>
    <w:sectPr w:rsidR="00866A20" w:rsidRPr="00467C1B" w:rsidSect="00467C1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A33"/>
    <w:multiLevelType w:val="multilevel"/>
    <w:tmpl w:val="35A0A3B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B871D3"/>
    <w:multiLevelType w:val="multilevel"/>
    <w:tmpl w:val="D85493DE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3154E"/>
    <w:multiLevelType w:val="hybridMultilevel"/>
    <w:tmpl w:val="F2845C76"/>
    <w:lvl w:ilvl="0" w:tplc="0660D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8D0ED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856C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0"/>
    <w:rsid w:val="00262258"/>
    <w:rsid w:val="00467C1B"/>
    <w:rsid w:val="00866A20"/>
    <w:rsid w:val="008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15BAC"/>
  <w15:docId w15:val="{852F1278-51A9-436E-A4A4-94EABF9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D4729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5C67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5C67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8" w:lineRule="auto"/>
      <w:ind w:firstLine="140"/>
    </w:pPr>
    <w:rPr>
      <w:rFonts w:ascii="Arial" w:eastAsia="Arial" w:hAnsi="Arial" w:cs="Arial"/>
      <w:i/>
      <w:iCs/>
      <w:color w:val="D47290"/>
      <w:sz w:val="17"/>
      <w:szCs w:val="17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color w:val="525C67"/>
      <w:sz w:val="22"/>
      <w:szCs w:val="22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7"/>
      <w:szCs w:val="17"/>
    </w:rPr>
  </w:style>
  <w:style w:type="paragraph" w:customStyle="1" w:styleId="Heading21">
    <w:name w:val="Heading #2"/>
    <w:basedOn w:val="Normal"/>
    <w:link w:val="Heading20"/>
    <w:pPr>
      <w:spacing w:line="271" w:lineRule="auto"/>
      <w:ind w:left="5220"/>
      <w:outlineLvl w:val="1"/>
    </w:pPr>
    <w:rPr>
      <w:rFonts w:ascii="Times New Roman" w:eastAsia="Times New Roman" w:hAnsi="Times New Roman" w:cs="Times New Roman"/>
      <w:b/>
      <w:bCs/>
      <w:color w:val="525C67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46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wWerZbPy6vq1YXjPT2QxeJuL+Q==">CgMxLjAyCGguZ2pkZ3hzOAByITF2UUtvczZKOVRDOGN2bzNYblN5VzBQZFhTd1NqNDNjbA==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2024-07-11T02:13:00Z</dcterms:created>
  <dcterms:modified xsi:type="dcterms:W3CDTF">2024-07-11T02:13:00Z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ed1631cc51333ee8d89f20101563ee0cbaced303c2ba7caac667cdd7ae8eb678</vt:lpwstr>
  </property>
</Properties>
</file>