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E8C24" w14:textId="77777777" w:rsidR="00FE4A3B" w:rsidRPr="00727515" w:rsidRDefault="00FE4A3B" w:rsidP="00F63C60">
      <w:pPr>
        <w:pStyle w:val="BodyText"/>
        <w:shd w:val="clear" w:color="auto" w:fill="auto"/>
        <w:tabs>
          <w:tab w:val="left" w:pos="432"/>
          <w:tab w:val="left" w:pos="5026"/>
        </w:tabs>
        <w:spacing w:after="120" w:line="360" w:lineRule="auto"/>
        <w:ind w:firstLine="0"/>
        <w:rPr>
          <w:rFonts w:ascii="Arial" w:hAnsi="Arial" w:cs="Arial"/>
          <w:b/>
          <w:bCs/>
          <w:color w:val="010000"/>
          <w:sz w:val="20"/>
        </w:rPr>
      </w:pPr>
      <w:r w:rsidRPr="00727515">
        <w:rPr>
          <w:rFonts w:ascii="Arial" w:hAnsi="Arial" w:cs="Arial"/>
          <w:b/>
          <w:color w:val="010000"/>
          <w:sz w:val="20"/>
        </w:rPr>
        <w:t xml:space="preserve">CCA: Board Resolution </w:t>
      </w:r>
      <w:r w:rsidR="00F63C60" w:rsidRPr="00727515">
        <w:rPr>
          <w:rFonts w:ascii="Arial" w:hAnsi="Arial" w:cs="Arial"/>
          <w:b/>
          <w:color w:val="010000"/>
          <w:sz w:val="20"/>
        </w:rPr>
        <w:t xml:space="preserve">No. </w:t>
      </w:r>
      <w:r w:rsidRPr="00727515">
        <w:rPr>
          <w:rFonts w:ascii="Arial" w:hAnsi="Arial" w:cs="Arial"/>
          <w:b/>
          <w:color w:val="010000"/>
          <w:sz w:val="20"/>
        </w:rPr>
        <w:t xml:space="preserve">69 </w:t>
      </w:r>
    </w:p>
    <w:p w14:paraId="6CC302CA" w14:textId="77777777" w:rsidR="001E7ED8" w:rsidRPr="00727515" w:rsidRDefault="00FE4A3B" w:rsidP="00F63C60">
      <w:pPr>
        <w:pStyle w:val="BodyText"/>
        <w:shd w:val="clear" w:color="auto" w:fill="auto"/>
        <w:tabs>
          <w:tab w:val="left" w:pos="432"/>
          <w:tab w:val="left" w:pos="5026"/>
        </w:tabs>
        <w:spacing w:after="120" w:line="360" w:lineRule="auto"/>
        <w:ind w:firstLine="0"/>
        <w:rPr>
          <w:rFonts w:ascii="Arial" w:hAnsi="Arial" w:cs="Arial"/>
          <w:color w:val="010000"/>
          <w:sz w:val="20"/>
        </w:rPr>
      </w:pPr>
      <w:r w:rsidRPr="00727515">
        <w:rPr>
          <w:rFonts w:ascii="Arial" w:hAnsi="Arial" w:cs="Arial"/>
          <w:color w:val="010000"/>
          <w:sz w:val="20"/>
        </w:rPr>
        <w:t xml:space="preserve">On July </w:t>
      </w:r>
      <w:r w:rsidR="00900C94" w:rsidRPr="00727515">
        <w:rPr>
          <w:rFonts w:ascii="Arial" w:hAnsi="Arial" w:cs="Arial"/>
          <w:color w:val="010000"/>
          <w:sz w:val="20"/>
        </w:rPr>
        <w:t>0</w:t>
      </w:r>
      <w:r w:rsidRPr="00727515">
        <w:rPr>
          <w:rFonts w:ascii="Arial" w:hAnsi="Arial" w:cs="Arial"/>
          <w:color w:val="010000"/>
          <w:sz w:val="20"/>
        </w:rPr>
        <w:t xml:space="preserve">9, 2024, Can Tho Import Export Seafood Joint Stock Company announced Resolution </w:t>
      </w:r>
      <w:r w:rsidR="00F63C60" w:rsidRPr="00727515">
        <w:rPr>
          <w:rFonts w:ascii="Arial" w:hAnsi="Arial" w:cs="Arial"/>
          <w:color w:val="010000"/>
          <w:sz w:val="20"/>
        </w:rPr>
        <w:t xml:space="preserve">No. </w:t>
      </w:r>
      <w:r w:rsidRPr="00727515">
        <w:rPr>
          <w:rFonts w:ascii="Arial" w:hAnsi="Arial" w:cs="Arial"/>
          <w:color w:val="010000"/>
          <w:sz w:val="20"/>
        </w:rPr>
        <w:t xml:space="preserve">69/NQ-HDQT.2024 on implementing the plan on </w:t>
      </w:r>
      <w:r w:rsidR="00900C94" w:rsidRPr="00727515">
        <w:rPr>
          <w:rFonts w:ascii="Arial" w:hAnsi="Arial" w:cs="Arial"/>
          <w:color w:val="010000"/>
          <w:sz w:val="20"/>
        </w:rPr>
        <w:t xml:space="preserve">the </w:t>
      </w:r>
      <w:r w:rsidRPr="00727515">
        <w:rPr>
          <w:rFonts w:ascii="Arial" w:hAnsi="Arial" w:cs="Arial"/>
          <w:color w:val="010000"/>
          <w:sz w:val="20"/>
        </w:rPr>
        <w:t>share issuance to increase share capital from the source of owners' equity and the public offering of additional shares 2024 as follows:</w:t>
      </w:r>
    </w:p>
    <w:p w14:paraId="104EE4B0" w14:textId="77777777" w:rsidR="001E7ED8" w:rsidRPr="00727515" w:rsidRDefault="00742EF6" w:rsidP="00F63C60">
      <w:pPr>
        <w:pStyle w:val="BodyText"/>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 xml:space="preserve">Article 1: Approve the plan on </w:t>
      </w:r>
      <w:r w:rsidR="00900C94" w:rsidRPr="00727515">
        <w:rPr>
          <w:rFonts w:ascii="Arial" w:hAnsi="Arial" w:cs="Arial"/>
          <w:color w:val="010000"/>
          <w:sz w:val="20"/>
        </w:rPr>
        <w:t xml:space="preserve">the </w:t>
      </w:r>
      <w:r w:rsidRPr="00727515">
        <w:rPr>
          <w:rFonts w:ascii="Arial" w:hAnsi="Arial" w:cs="Arial"/>
          <w:color w:val="010000"/>
          <w:sz w:val="20"/>
        </w:rPr>
        <w:t xml:space="preserve">share issuance to increase share capital from the source of owners' equity and the public offering of additional shares </w:t>
      </w:r>
      <w:r w:rsidR="00900C94" w:rsidRPr="00727515">
        <w:rPr>
          <w:rFonts w:ascii="Arial" w:hAnsi="Arial" w:cs="Arial"/>
          <w:color w:val="010000"/>
          <w:sz w:val="20"/>
        </w:rPr>
        <w:t xml:space="preserve">in </w:t>
      </w:r>
      <w:r w:rsidRPr="00727515">
        <w:rPr>
          <w:rFonts w:ascii="Arial" w:hAnsi="Arial" w:cs="Arial"/>
          <w:color w:val="010000"/>
          <w:sz w:val="20"/>
        </w:rPr>
        <w:t>2024</w:t>
      </w:r>
    </w:p>
    <w:p w14:paraId="3DA7FD98" w14:textId="001AE662" w:rsidR="001E7ED8" w:rsidRPr="00727515" w:rsidRDefault="00742EF6" w:rsidP="00F63C60">
      <w:pPr>
        <w:pStyle w:val="Tablecaption0"/>
        <w:shd w:val="clear" w:color="auto" w:fill="auto"/>
        <w:tabs>
          <w:tab w:val="left" w:pos="432"/>
        </w:tabs>
        <w:spacing w:after="120" w:line="360" w:lineRule="auto"/>
        <w:jc w:val="both"/>
        <w:rPr>
          <w:rFonts w:ascii="Arial" w:hAnsi="Arial" w:cs="Arial"/>
          <w:color w:val="010000"/>
          <w:sz w:val="20"/>
        </w:rPr>
      </w:pPr>
      <w:r w:rsidRPr="00727515">
        <w:rPr>
          <w:rFonts w:ascii="Arial" w:hAnsi="Arial" w:cs="Arial"/>
          <w:color w:val="010000"/>
          <w:sz w:val="20"/>
        </w:rPr>
        <w:t>Approve implementing the plan on</w:t>
      </w:r>
      <w:r w:rsidR="00900C94" w:rsidRPr="00727515">
        <w:rPr>
          <w:rFonts w:ascii="Arial" w:hAnsi="Arial" w:cs="Arial"/>
          <w:color w:val="010000"/>
          <w:sz w:val="20"/>
        </w:rPr>
        <w:t xml:space="preserve"> the</w:t>
      </w:r>
      <w:r w:rsidRPr="00727515">
        <w:rPr>
          <w:rFonts w:ascii="Arial" w:hAnsi="Arial" w:cs="Arial"/>
          <w:color w:val="010000"/>
          <w:sz w:val="20"/>
        </w:rPr>
        <w:t xml:space="preserve"> share issuance to increase share capital from the source of owners' equity and the public offering of additional shares according to Annual General Mandate 2024 56/NQ/DHDCD.2024 dated May 25, 2024</w:t>
      </w:r>
      <w:r w:rsidR="003E1144">
        <w:rPr>
          <w:rFonts w:ascii="Arial" w:hAnsi="Arial" w:cs="Arial"/>
          <w:color w:val="010000"/>
          <w:sz w:val="20"/>
        </w:rPr>
        <w:t>,</w:t>
      </w:r>
      <w:r w:rsidRPr="00727515">
        <w:rPr>
          <w:rFonts w:ascii="Arial" w:hAnsi="Arial" w:cs="Arial"/>
          <w:color w:val="010000"/>
          <w:sz w:val="20"/>
        </w:rPr>
        <w:t xml:space="preserve"> as follows:</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30"/>
        <w:gridCol w:w="5587"/>
      </w:tblGrid>
      <w:tr w:rsidR="001E7ED8" w:rsidRPr="00727515" w14:paraId="3BDA4CC4" w14:textId="77777777" w:rsidTr="00F63C60">
        <w:tc>
          <w:tcPr>
            <w:tcW w:w="1902" w:type="pct"/>
            <w:shd w:val="clear" w:color="auto" w:fill="auto"/>
            <w:vAlign w:val="center"/>
          </w:tcPr>
          <w:p w14:paraId="70B878E6" w14:textId="77777777" w:rsidR="001E7ED8" w:rsidRPr="00727515" w:rsidRDefault="00742EF6"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1. Name of issued share:</w:t>
            </w:r>
          </w:p>
        </w:tc>
        <w:tc>
          <w:tcPr>
            <w:tcW w:w="3098" w:type="pct"/>
            <w:shd w:val="clear" w:color="auto" w:fill="auto"/>
            <w:vAlign w:val="center"/>
          </w:tcPr>
          <w:p w14:paraId="7002F0BC" w14:textId="77777777" w:rsidR="001E7ED8" w:rsidRPr="00727515" w:rsidRDefault="00742EF6"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Shares of Can Tho Import Export Seafood Joint Stock Company</w:t>
            </w:r>
          </w:p>
        </w:tc>
      </w:tr>
      <w:tr w:rsidR="001E7ED8" w:rsidRPr="00727515" w14:paraId="10E1A96A" w14:textId="77777777" w:rsidTr="00F63C60">
        <w:tc>
          <w:tcPr>
            <w:tcW w:w="1902" w:type="pct"/>
            <w:shd w:val="clear" w:color="auto" w:fill="auto"/>
            <w:vAlign w:val="center"/>
          </w:tcPr>
          <w:p w14:paraId="40BFC768" w14:textId="77777777" w:rsidR="001E7ED8" w:rsidRPr="00727515" w:rsidRDefault="00742EF6"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2. Securities code:</w:t>
            </w:r>
          </w:p>
        </w:tc>
        <w:tc>
          <w:tcPr>
            <w:tcW w:w="3098" w:type="pct"/>
            <w:shd w:val="clear" w:color="auto" w:fill="auto"/>
            <w:vAlign w:val="center"/>
          </w:tcPr>
          <w:p w14:paraId="1851B035" w14:textId="77777777" w:rsidR="001E7ED8" w:rsidRPr="00727515" w:rsidRDefault="00742EF6"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CCA</w:t>
            </w:r>
          </w:p>
        </w:tc>
      </w:tr>
      <w:tr w:rsidR="001E7ED8" w:rsidRPr="00727515" w14:paraId="4F2EB337" w14:textId="77777777" w:rsidTr="00F63C60">
        <w:tc>
          <w:tcPr>
            <w:tcW w:w="1902" w:type="pct"/>
            <w:shd w:val="clear" w:color="auto" w:fill="auto"/>
            <w:vAlign w:val="center"/>
          </w:tcPr>
          <w:p w14:paraId="3C2CF7E9" w14:textId="77777777" w:rsidR="001E7ED8" w:rsidRPr="00727515" w:rsidRDefault="00742EF6"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3. Share type:</w:t>
            </w:r>
          </w:p>
        </w:tc>
        <w:tc>
          <w:tcPr>
            <w:tcW w:w="3098" w:type="pct"/>
            <w:shd w:val="clear" w:color="auto" w:fill="auto"/>
            <w:vAlign w:val="center"/>
          </w:tcPr>
          <w:p w14:paraId="242F8C86" w14:textId="77777777" w:rsidR="001E7ED8" w:rsidRPr="00727515" w:rsidRDefault="00742EF6"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Common shares</w:t>
            </w:r>
          </w:p>
        </w:tc>
      </w:tr>
      <w:tr w:rsidR="001E7ED8" w:rsidRPr="00727515" w14:paraId="1638A924" w14:textId="77777777" w:rsidTr="00F63C60">
        <w:tc>
          <w:tcPr>
            <w:tcW w:w="1902" w:type="pct"/>
            <w:shd w:val="clear" w:color="auto" w:fill="auto"/>
            <w:vAlign w:val="center"/>
          </w:tcPr>
          <w:p w14:paraId="4D9E2A35" w14:textId="77777777" w:rsidR="001E7ED8" w:rsidRPr="00727515" w:rsidRDefault="00742EF6"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4. Par value:</w:t>
            </w:r>
          </w:p>
        </w:tc>
        <w:tc>
          <w:tcPr>
            <w:tcW w:w="3098" w:type="pct"/>
            <w:shd w:val="clear" w:color="auto" w:fill="auto"/>
            <w:vAlign w:val="center"/>
          </w:tcPr>
          <w:p w14:paraId="47C61C4E" w14:textId="77777777" w:rsidR="001E7ED8" w:rsidRPr="00727515" w:rsidRDefault="00742EF6"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VND10,000/share</w:t>
            </w:r>
          </w:p>
        </w:tc>
      </w:tr>
      <w:tr w:rsidR="00FE4A3B" w:rsidRPr="00727515" w14:paraId="18D46F33" w14:textId="77777777" w:rsidTr="00F63C60">
        <w:tc>
          <w:tcPr>
            <w:tcW w:w="1902" w:type="pct"/>
            <w:shd w:val="clear" w:color="auto" w:fill="auto"/>
            <w:vAlign w:val="center"/>
          </w:tcPr>
          <w:p w14:paraId="16BD8486"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5. Current charter capital:</w:t>
            </w:r>
          </w:p>
        </w:tc>
        <w:tc>
          <w:tcPr>
            <w:tcW w:w="3098" w:type="pct"/>
            <w:shd w:val="clear" w:color="auto" w:fill="auto"/>
            <w:vAlign w:val="center"/>
          </w:tcPr>
          <w:p w14:paraId="7F91D63A"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VND150,923,260,000</w:t>
            </w:r>
          </w:p>
        </w:tc>
      </w:tr>
      <w:tr w:rsidR="00FE4A3B" w:rsidRPr="00727515" w14:paraId="21349B8C" w14:textId="77777777" w:rsidTr="00F63C60">
        <w:tc>
          <w:tcPr>
            <w:tcW w:w="1902" w:type="pct"/>
            <w:shd w:val="clear" w:color="auto" w:fill="auto"/>
            <w:vAlign w:val="center"/>
          </w:tcPr>
          <w:p w14:paraId="28BAC262"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6. Number of the outstanding shares:</w:t>
            </w:r>
          </w:p>
        </w:tc>
        <w:tc>
          <w:tcPr>
            <w:tcW w:w="3098" w:type="pct"/>
            <w:shd w:val="clear" w:color="auto" w:fill="auto"/>
            <w:vAlign w:val="center"/>
          </w:tcPr>
          <w:p w14:paraId="1FBFEEB0"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15,092,326 shares</w:t>
            </w:r>
          </w:p>
        </w:tc>
      </w:tr>
      <w:tr w:rsidR="00FE4A3B" w:rsidRPr="00727515" w14:paraId="60108BD0" w14:textId="77777777" w:rsidTr="00F63C60">
        <w:tc>
          <w:tcPr>
            <w:tcW w:w="1902" w:type="pct"/>
            <w:shd w:val="clear" w:color="auto" w:fill="auto"/>
            <w:vAlign w:val="center"/>
          </w:tcPr>
          <w:p w14:paraId="7A4019E1"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7. Expected number of issued shares</w:t>
            </w:r>
            <w:r w:rsidR="00900C94" w:rsidRPr="00727515">
              <w:rPr>
                <w:rFonts w:ascii="Arial" w:hAnsi="Arial" w:cs="Arial"/>
                <w:color w:val="010000"/>
                <w:sz w:val="20"/>
              </w:rPr>
              <w:t>:</w:t>
            </w:r>
          </w:p>
        </w:tc>
        <w:tc>
          <w:tcPr>
            <w:tcW w:w="3098" w:type="pct"/>
            <w:shd w:val="clear" w:color="auto" w:fill="auto"/>
            <w:vAlign w:val="center"/>
          </w:tcPr>
          <w:p w14:paraId="082DCCA5"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3,018,464 shares</w:t>
            </w:r>
          </w:p>
        </w:tc>
      </w:tr>
      <w:tr w:rsidR="00FE4A3B" w:rsidRPr="00727515" w14:paraId="52968941" w14:textId="77777777" w:rsidTr="00F63C60">
        <w:tc>
          <w:tcPr>
            <w:tcW w:w="1902" w:type="pct"/>
            <w:shd w:val="clear" w:color="auto" w:fill="auto"/>
            <w:vAlign w:val="center"/>
          </w:tcPr>
          <w:p w14:paraId="75D09B67" w14:textId="77777777" w:rsidR="00FE4A3B" w:rsidRPr="003E1144" w:rsidRDefault="00FE4A3B" w:rsidP="00F63C60">
            <w:pPr>
              <w:pStyle w:val="Other0"/>
              <w:shd w:val="clear" w:color="auto" w:fill="auto"/>
              <w:tabs>
                <w:tab w:val="left" w:pos="432"/>
              </w:tabs>
              <w:spacing w:after="120" w:line="360" w:lineRule="auto"/>
              <w:ind w:firstLine="0"/>
              <w:rPr>
                <w:rFonts w:ascii="Arial" w:hAnsi="Arial" w:cs="Arial"/>
                <w:i/>
                <w:color w:val="010000"/>
                <w:sz w:val="20"/>
              </w:rPr>
            </w:pPr>
            <w:r w:rsidRPr="003E1144">
              <w:rPr>
                <w:rFonts w:ascii="Arial" w:hAnsi="Arial" w:cs="Arial"/>
                <w:i/>
                <w:color w:val="010000"/>
                <w:sz w:val="20"/>
              </w:rPr>
              <w:t>- Number of shares issued to increase share capital from the source of owners' equity:</w:t>
            </w:r>
          </w:p>
        </w:tc>
        <w:tc>
          <w:tcPr>
            <w:tcW w:w="3098" w:type="pct"/>
            <w:shd w:val="clear" w:color="auto" w:fill="auto"/>
            <w:vAlign w:val="center"/>
          </w:tcPr>
          <w:p w14:paraId="5EE6AD63"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1,509,232 shares</w:t>
            </w:r>
          </w:p>
        </w:tc>
      </w:tr>
      <w:tr w:rsidR="00FE4A3B" w:rsidRPr="00727515" w14:paraId="0B92B8EB" w14:textId="77777777" w:rsidTr="00F63C60">
        <w:tc>
          <w:tcPr>
            <w:tcW w:w="1902" w:type="pct"/>
            <w:shd w:val="clear" w:color="auto" w:fill="auto"/>
            <w:vAlign w:val="center"/>
          </w:tcPr>
          <w:p w14:paraId="741C57BB" w14:textId="77777777" w:rsidR="00FE4A3B" w:rsidRPr="003E1144" w:rsidRDefault="00FE4A3B" w:rsidP="00F63C60">
            <w:pPr>
              <w:pStyle w:val="Other0"/>
              <w:shd w:val="clear" w:color="auto" w:fill="auto"/>
              <w:tabs>
                <w:tab w:val="left" w:pos="432"/>
              </w:tabs>
              <w:spacing w:after="120" w:line="360" w:lineRule="auto"/>
              <w:ind w:firstLine="0"/>
              <w:rPr>
                <w:rFonts w:ascii="Arial" w:hAnsi="Arial" w:cs="Arial"/>
                <w:i/>
                <w:color w:val="010000"/>
                <w:sz w:val="20"/>
              </w:rPr>
            </w:pPr>
            <w:r w:rsidRPr="003E1144">
              <w:rPr>
                <w:rFonts w:ascii="Arial" w:hAnsi="Arial" w:cs="Arial"/>
                <w:i/>
                <w:color w:val="010000"/>
                <w:sz w:val="20"/>
              </w:rPr>
              <w:t>- Number of shares offered to existing shareholders:</w:t>
            </w:r>
          </w:p>
        </w:tc>
        <w:tc>
          <w:tcPr>
            <w:tcW w:w="3098" w:type="pct"/>
            <w:shd w:val="clear" w:color="auto" w:fill="auto"/>
            <w:vAlign w:val="center"/>
          </w:tcPr>
          <w:p w14:paraId="7E5E87F5"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1,509,232 shares</w:t>
            </w:r>
          </w:p>
        </w:tc>
      </w:tr>
      <w:tr w:rsidR="00FE4A3B" w:rsidRPr="00727515" w14:paraId="1AC2FF63" w14:textId="77777777" w:rsidTr="00F63C60">
        <w:tc>
          <w:tcPr>
            <w:tcW w:w="1902" w:type="pct"/>
            <w:shd w:val="clear" w:color="auto" w:fill="auto"/>
            <w:vAlign w:val="center"/>
          </w:tcPr>
          <w:p w14:paraId="16CCCD0A"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8. Total issuance value per par value:</w:t>
            </w:r>
          </w:p>
        </w:tc>
        <w:tc>
          <w:tcPr>
            <w:tcW w:w="3098" w:type="pct"/>
            <w:shd w:val="clear" w:color="auto" w:fill="auto"/>
            <w:vAlign w:val="center"/>
          </w:tcPr>
          <w:p w14:paraId="49E2BEEA"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VND30,184,640,000</w:t>
            </w:r>
          </w:p>
        </w:tc>
      </w:tr>
      <w:tr w:rsidR="00FE4A3B" w:rsidRPr="00727515" w14:paraId="56D53F2D" w14:textId="77777777" w:rsidTr="00F63C60">
        <w:tc>
          <w:tcPr>
            <w:tcW w:w="1902" w:type="pct"/>
            <w:shd w:val="clear" w:color="auto" w:fill="auto"/>
            <w:vAlign w:val="center"/>
          </w:tcPr>
          <w:p w14:paraId="45CC2D6A" w14:textId="77777777" w:rsidR="00FE4A3B" w:rsidRPr="001D1997" w:rsidRDefault="00FE4A3B" w:rsidP="00900C94">
            <w:pPr>
              <w:pStyle w:val="Other0"/>
              <w:shd w:val="clear" w:color="auto" w:fill="auto"/>
              <w:tabs>
                <w:tab w:val="left" w:pos="432"/>
              </w:tabs>
              <w:spacing w:after="120" w:line="360" w:lineRule="auto"/>
              <w:ind w:firstLine="0"/>
              <w:rPr>
                <w:rFonts w:ascii="Arial" w:hAnsi="Arial" w:cs="Arial"/>
                <w:i/>
                <w:color w:val="010000"/>
                <w:sz w:val="20"/>
              </w:rPr>
            </w:pPr>
            <w:r w:rsidRPr="001D1997">
              <w:rPr>
                <w:rFonts w:ascii="Arial" w:hAnsi="Arial" w:cs="Arial"/>
                <w:i/>
                <w:color w:val="010000"/>
                <w:sz w:val="20"/>
              </w:rPr>
              <w:t xml:space="preserve">- </w:t>
            </w:r>
            <w:r w:rsidR="00900C94" w:rsidRPr="001D1997">
              <w:rPr>
                <w:rFonts w:ascii="Arial" w:hAnsi="Arial" w:cs="Arial"/>
                <w:i/>
                <w:color w:val="010000"/>
                <w:sz w:val="20"/>
              </w:rPr>
              <w:t>V</w:t>
            </w:r>
            <w:r w:rsidRPr="001D1997">
              <w:rPr>
                <w:rFonts w:ascii="Arial" w:hAnsi="Arial" w:cs="Arial"/>
                <w:i/>
                <w:color w:val="010000"/>
                <w:sz w:val="20"/>
              </w:rPr>
              <w:t>alue</w:t>
            </w:r>
            <w:r w:rsidR="00900C94" w:rsidRPr="001D1997">
              <w:rPr>
                <w:rFonts w:ascii="Arial" w:hAnsi="Arial" w:cs="Arial"/>
                <w:i/>
                <w:color w:val="010000"/>
                <w:sz w:val="20"/>
              </w:rPr>
              <w:t xml:space="preserve"> issued</w:t>
            </w:r>
            <w:r w:rsidRPr="001D1997">
              <w:rPr>
                <w:rFonts w:ascii="Arial" w:hAnsi="Arial" w:cs="Arial"/>
                <w:i/>
                <w:color w:val="010000"/>
                <w:sz w:val="20"/>
              </w:rPr>
              <w:t xml:space="preserve"> to increase share capital from the source of owners' equity:</w:t>
            </w:r>
          </w:p>
        </w:tc>
        <w:tc>
          <w:tcPr>
            <w:tcW w:w="3098" w:type="pct"/>
            <w:shd w:val="clear" w:color="auto" w:fill="auto"/>
            <w:vAlign w:val="center"/>
          </w:tcPr>
          <w:p w14:paraId="44F71B0B"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VND15,092,320,000</w:t>
            </w:r>
          </w:p>
        </w:tc>
      </w:tr>
      <w:tr w:rsidR="00FE4A3B" w:rsidRPr="00727515" w14:paraId="7F037B66" w14:textId="77777777" w:rsidTr="00F63C60">
        <w:tc>
          <w:tcPr>
            <w:tcW w:w="1902" w:type="pct"/>
            <w:shd w:val="clear" w:color="auto" w:fill="auto"/>
            <w:vAlign w:val="center"/>
          </w:tcPr>
          <w:p w14:paraId="4DE57471" w14:textId="77777777" w:rsidR="00FE4A3B" w:rsidRPr="001D1997" w:rsidRDefault="00FE4A3B" w:rsidP="00900C94">
            <w:pPr>
              <w:pStyle w:val="Other0"/>
              <w:shd w:val="clear" w:color="auto" w:fill="auto"/>
              <w:tabs>
                <w:tab w:val="left" w:pos="432"/>
              </w:tabs>
              <w:spacing w:after="120" w:line="360" w:lineRule="auto"/>
              <w:ind w:firstLine="0"/>
              <w:rPr>
                <w:rFonts w:ascii="Arial" w:hAnsi="Arial" w:cs="Arial"/>
                <w:i/>
                <w:color w:val="010000"/>
                <w:sz w:val="20"/>
              </w:rPr>
            </w:pPr>
            <w:r w:rsidRPr="001D1997">
              <w:rPr>
                <w:rFonts w:ascii="Arial" w:hAnsi="Arial" w:cs="Arial"/>
                <w:i/>
                <w:color w:val="010000"/>
                <w:sz w:val="20"/>
              </w:rPr>
              <w:t xml:space="preserve">- </w:t>
            </w:r>
            <w:r w:rsidR="00900C94" w:rsidRPr="001D1997">
              <w:rPr>
                <w:rFonts w:ascii="Arial" w:hAnsi="Arial" w:cs="Arial"/>
                <w:i/>
                <w:color w:val="010000"/>
                <w:sz w:val="20"/>
              </w:rPr>
              <w:t>V</w:t>
            </w:r>
            <w:r w:rsidRPr="001D1997">
              <w:rPr>
                <w:rFonts w:ascii="Arial" w:hAnsi="Arial" w:cs="Arial"/>
                <w:i/>
                <w:color w:val="010000"/>
                <w:sz w:val="20"/>
              </w:rPr>
              <w:t>alue</w:t>
            </w:r>
            <w:r w:rsidR="00900C94" w:rsidRPr="001D1997">
              <w:rPr>
                <w:rFonts w:ascii="Arial" w:hAnsi="Arial" w:cs="Arial"/>
                <w:i/>
                <w:color w:val="010000"/>
                <w:sz w:val="20"/>
              </w:rPr>
              <w:t xml:space="preserve"> offered</w:t>
            </w:r>
            <w:r w:rsidRPr="001D1997">
              <w:rPr>
                <w:rFonts w:ascii="Arial" w:hAnsi="Arial" w:cs="Arial"/>
                <w:i/>
                <w:color w:val="010000"/>
                <w:sz w:val="20"/>
              </w:rPr>
              <w:t xml:space="preserve"> to existing shareholders:</w:t>
            </w:r>
          </w:p>
        </w:tc>
        <w:tc>
          <w:tcPr>
            <w:tcW w:w="3098" w:type="pct"/>
            <w:shd w:val="clear" w:color="auto" w:fill="auto"/>
            <w:vAlign w:val="center"/>
          </w:tcPr>
          <w:p w14:paraId="76B0FDBF"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VND15,092,320,000</w:t>
            </w:r>
          </w:p>
        </w:tc>
      </w:tr>
      <w:tr w:rsidR="00FE4A3B" w:rsidRPr="00727515" w14:paraId="663C049F" w14:textId="77777777" w:rsidTr="00F63C60">
        <w:tc>
          <w:tcPr>
            <w:tcW w:w="1902" w:type="pct"/>
            <w:shd w:val="clear" w:color="auto" w:fill="auto"/>
            <w:vAlign w:val="center"/>
          </w:tcPr>
          <w:p w14:paraId="43A1F15D"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9. Expected charter capital after issuance:</w:t>
            </w:r>
          </w:p>
        </w:tc>
        <w:tc>
          <w:tcPr>
            <w:tcW w:w="3098" w:type="pct"/>
            <w:shd w:val="clear" w:color="auto" w:fill="auto"/>
            <w:vAlign w:val="center"/>
          </w:tcPr>
          <w:p w14:paraId="36B5599F"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VND181,107,900,000</w:t>
            </w:r>
          </w:p>
        </w:tc>
      </w:tr>
      <w:tr w:rsidR="00FE4A3B" w:rsidRPr="00727515" w14:paraId="6D5C0E15" w14:textId="77777777" w:rsidTr="00F63C60">
        <w:tc>
          <w:tcPr>
            <w:tcW w:w="1902" w:type="pct"/>
            <w:shd w:val="clear" w:color="auto" w:fill="auto"/>
            <w:vAlign w:val="center"/>
          </w:tcPr>
          <w:p w14:paraId="278A3C21"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10. Expected number of shares after issuance:</w:t>
            </w:r>
          </w:p>
        </w:tc>
        <w:tc>
          <w:tcPr>
            <w:tcW w:w="3098" w:type="pct"/>
            <w:shd w:val="clear" w:color="auto" w:fill="auto"/>
            <w:vAlign w:val="center"/>
          </w:tcPr>
          <w:p w14:paraId="7D3174D5"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18,110,790 shares</w:t>
            </w:r>
          </w:p>
        </w:tc>
      </w:tr>
      <w:tr w:rsidR="00FE4A3B" w:rsidRPr="00727515" w14:paraId="6547F74A" w14:textId="77777777" w:rsidTr="00F63C60">
        <w:tc>
          <w:tcPr>
            <w:tcW w:w="1902" w:type="pct"/>
            <w:shd w:val="clear" w:color="auto" w:fill="auto"/>
            <w:vAlign w:val="center"/>
          </w:tcPr>
          <w:p w14:paraId="7F951B75"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 xml:space="preserve">11. Issuance rate (number of shares </w:t>
            </w:r>
            <w:r w:rsidRPr="00727515">
              <w:rPr>
                <w:rFonts w:ascii="Arial" w:hAnsi="Arial" w:cs="Arial"/>
                <w:color w:val="010000"/>
                <w:sz w:val="20"/>
              </w:rPr>
              <w:lastRenderedPageBreak/>
              <w:t>expected to be issued/number of outstanding shares):</w:t>
            </w:r>
          </w:p>
        </w:tc>
        <w:tc>
          <w:tcPr>
            <w:tcW w:w="3098" w:type="pct"/>
            <w:shd w:val="clear" w:color="auto" w:fill="auto"/>
            <w:vAlign w:val="center"/>
          </w:tcPr>
          <w:p w14:paraId="164B63FF"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lastRenderedPageBreak/>
              <w:t>20%</w:t>
            </w:r>
          </w:p>
        </w:tc>
      </w:tr>
      <w:tr w:rsidR="00FE4A3B" w:rsidRPr="00727515" w14:paraId="2F970530" w14:textId="77777777" w:rsidTr="00F63C60">
        <w:tc>
          <w:tcPr>
            <w:tcW w:w="1902" w:type="pct"/>
            <w:shd w:val="clear" w:color="auto" w:fill="auto"/>
            <w:vAlign w:val="center"/>
          </w:tcPr>
          <w:p w14:paraId="14E6C0EE"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lastRenderedPageBreak/>
              <w:t>12. Eligible buyer:</w:t>
            </w:r>
          </w:p>
        </w:tc>
        <w:tc>
          <w:tcPr>
            <w:tcW w:w="3098" w:type="pct"/>
            <w:shd w:val="clear" w:color="auto" w:fill="auto"/>
            <w:vAlign w:val="center"/>
          </w:tcPr>
          <w:p w14:paraId="73842547"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Existing shareholders on the record date for the list of shareholders to exercise rights to receive shares to increase share capital from the source of owners' equity and exercise rights to buy additional shares.</w:t>
            </w:r>
          </w:p>
        </w:tc>
      </w:tr>
      <w:tr w:rsidR="00FE4A3B" w:rsidRPr="00727515" w14:paraId="56CEC1CC" w14:textId="77777777" w:rsidTr="00F63C60">
        <w:tc>
          <w:tcPr>
            <w:tcW w:w="1902" w:type="pct"/>
            <w:shd w:val="clear" w:color="auto" w:fill="auto"/>
            <w:vAlign w:val="center"/>
          </w:tcPr>
          <w:p w14:paraId="4FAEC798"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13. Form of the issuance:</w:t>
            </w:r>
          </w:p>
        </w:tc>
        <w:tc>
          <w:tcPr>
            <w:tcW w:w="3098" w:type="pct"/>
            <w:shd w:val="clear" w:color="auto" w:fill="auto"/>
            <w:vAlign w:val="center"/>
          </w:tcPr>
          <w:p w14:paraId="7F2C0528" w14:textId="77777777" w:rsidR="00FE4A3B" w:rsidRPr="00727515" w:rsidRDefault="00AF104D" w:rsidP="00AF104D">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The s</w:t>
            </w:r>
            <w:r w:rsidR="00FE4A3B" w:rsidRPr="00727515">
              <w:rPr>
                <w:rFonts w:ascii="Arial" w:hAnsi="Arial" w:cs="Arial"/>
                <w:color w:val="010000"/>
                <w:sz w:val="20"/>
              </w:rPr>
              <w:t>hare issuance to increase share capital from the source of owners’ equity and the public offering of additional shares (Offering to existing shareholders by</w:t>
            </w:r>
            <w:r w:rsidRPr="00727515">
              <w:rPr>
                <w:rFonts w:ascii="Arial" w:hAnsi="Arial" w:cs="Arial"/>
                <w:color w:val="010000"/>
                <w:sz w:val="20"/>
              </w:rPr>
              <w:t xml:space="preserve"> the</w:t>
            </w:r>
            <w:r w:rsidR="00FE4A3B" w:rsidRPr="00727515">
              <w:rPr>
                <w:rFonts w:ascii="Arial" w:hAnsi="Arial" w:cs="Arial"/>
                <w:color w:val="010000"/>
                <w:sz w:val="20"/>
              </w:rPr>
              <w:t xml:space="preserve"> </w:t>
            </w:r>
            <w:r w:rsidRPr="00727515">
              <w:rPr>
                <w:rFonts w:ascii="Arial" w:hAnsi="Arial" w:cs="Arial"/>
                <w:color w:val="010000"/>
                <w:sz w:val="20"/>
              </w:rPr>
              <w:t xml:space="preserve">method of exercising the </w:t>
            </w:r>
            <w:r w:rsidR="00FE4A3B" w:rsidRPr="00727515">
              <w:rPr>
                <w:rFonts w:ascii="Arial" w:hAnsi="Arial" w:cs="Arial"/>
                <w:color w:val="010000"/>
                <w:sz w:val="20"/>
              </w:rPr>
              <w:t>rights).</w:t>
            </w:r>
          </w:p>
        </w:tc>
      </w:tr>
      <w:tr w:rsidR="00FE4A3B" w:rsidRPr="00727515" w14:paraId="2B4A4E73" w14:textId="77777777" w:rsidTr="00F63C60">
        <w:tc>
          <w:tcPr>
            <w:tcW w:w="1902" w:type="pct"/>
            <w:shd w:val="clear" w:color="auto" w:fill="auto"/>
            <w:vAlign w:val="center"/>
          </w:tcPr>
          <w:p w14:paraId="54ED8919"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14. Source of capital used to issue shares to increase share capital from the source of owners' equity:</w:t>
            </w:r>
          </w:p>
        </w:tc>
        <w:tc>
          <w:tcPr>
            <w:tcW w:w="3098" w:type="pct"/>
            <w:shd w:val="clear" w:color="auto" w:fill="auto"/>
            <w:vAlign w:val="center"/>
          </w:tcPr>
          <w:p w14:paraId="37B163B1" w14:textId="05332C9B"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Source of accumulated surplus capital as of December 31, 2023</w:t>
            </w:r>
            <w:r w:rsidR="00EA130D">
              <w:rPr>
                <w:rFonts w:ascii="Arial" w:hAnsi="Arial" w:cs="Arial"/>
                <w:color w:val="010000"/>
                <w:sz w:val="20"/>
              </w:rPr>
              <w:t>,</w:t>
            </w:r>
            <w:r w:rsidRPr="00727515">
              <w:rPr>
                <w:rFonts w:ascii="Arial" w:hAnsi="Arial" w:cs="Arial"/>
                <w:color w:val="010000"/>
                <w:sz w:val="20"/>
              </w:rPr>
              <w:t xml:space="preserve"> based on the Audited Financial Statements 2023 of the Company.</w:t>
            </w:r>
          </w:p>
        </w:tc>
      </w:tr>
      <w:tr w:rsidR="00FE4A3B" w:rsidRPr="00727515" w14:paraId="46CCB7C8" w14:textId="77777777" w:rsidTr="00F63C60">
        <w:tc>
          <w:tcPr>
            <w:tcW w:w="1902" w:type="pct"/>
            <w:shd w:val="clear" w:color="auto" w:fill="auto"/>
            <w:vAlign w:val="center"/>
          </w:tcPr>
          <w:p w14:paraId="5CB060C0"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15. Expected offering price (for offering to existing shareholders):</w:t>
            </w:r>
          </w:p>
        </w:tc>
        <w:tc>
          <w:tcPr>
            <w:tcW w:w="3098" w:type="pct"/>
            <w:shd w:val="clear" w:color="auto" w:fill="auto"/>
            <w:vAlign w:val="center"/>
          </w:tcPr>
          <w:p w14:paraId="757C90D2"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VND10,000/share</w:t>
            </w:r>
          </w:p>
        </w:tc>
      </w:tr>
      <w:tr w:rsidR="00FE4A3B" w:rsidRPr="00727515" w14:paraId="100EE00E" w14:textId="77777777" w:rsidTr="00F63C60">
        <w:tc>
          <w:tcPr>
            <w:tcW w:w="5000" w:type="pct"/>
            <w:gridSpan w:val="2"/>
            <w:shd w:val="clear" w:color="auto" w:fill="auto"/>
            <w:vAlign w:val="center"/>
          </w:tcPr>
          <w:p w14:paraId="36B35849" w14:textId="3F0292F0" w:rsidR="00FE4A3B" w:rsidRPr="00727515" w:rsidRDefault="003A2BCD" w:rsidP="00F63C60">
            <w:pPr>
              <w:pStyle w:val="BodyText"/>
              <w:numPr>
                <w:ilvl w:val="0"/>
                <w:numId w:val="2"/>
              </w:numPr>
              <w:shd w:val="clear" w:color="auto" w:fill="auto"/>
              <w:tabs>
                <w:tab w:val="left" w:pos="432"/>
                <w:tab w:val="left" w:pos="659"/>
              </w:tabs>
              <w:spacing w:after="120" w:line="360" w:lineRule="auto"/>
              <w:ind w:firstLine="0"/>
              <w:rPr>
                <w:rFonts w:ascii="Arial" w:hAnsi="Arial" w:cs="Arial"/>
                <w:color w:val="010000"/>
                <w:sz w:val="20"/>
              </w:rPr>
            </w:pPr>
            <w:r>
              <w:rPr>
                <w:rFonts w:ascii="Arial" w:hAnsi="Arial" w:cs="Arial"/>
                <w:color w:val="010000"/>
                <w:sz w:val="20"/>
              </w:rPr>
              <w:t xml:space="preserve">Rights </w:t>
            </w:r>
            <w:r w:rsidR="00FE4A3B" w:rsidRPr="00727515">
              <w:rPr>
                <w:rFonts w:ascii="Arial" w:hAnsi="Arial" w:cs="Arial"/>
                <w:color w:val="010000"/>
                <w:sz w:val="20"/>
              </w:rPr>
              <w:t>exercise rate:</w:t>
            </w:r>
          </w:p>
          <w:p w14:paraId="194EC030" w14:textId="77777777" w:rsidR="00FE4A3B" w:rsidRPr="00727515" w:rsidRDefault="00FE4A3B" w:rsidP="00F63C60">
            <w:pPr>
              <w:pStyle w:val="BodyText"/>
              <w:numPr>
                <w:ilvl w:val="0"/>
                <w:numId w:val="3"/>
              </w:numPr>
              <w:shd w:val="clear" w:color="auto" w:fill="auto"/>
              <w:tabs>
                <w:tab w:val="left" w:pos="432"/>
                <w:tab w:val="left" w:pos="889"/>
              </w:tabs>
              <w:spacing w:after="120" w:line="360" w:lineRule="auto"/>
              <w:ind w:firstLine="0"/>
              <w:rPr>
                <w:rFonts w:ascii="Arial" w:hAnsi="Arial" w:cs="Arial"/>
                <w:color w:val="010000"/>
                <w:sz w:val="20"/>
              </w:rPr>
            </w:pPr>
            <w:r w:rsidRPr="00727515">
              <w:rPr>
                <w:rFonts w:ascii="Arial" w:hAnsi="Arial" w:cs="Arial"/>
                <w:color w:val="010000"/>
                <w:sz w:val="20"/>
              </w:rPr>
              <w:t>For share issuance to increase share capital from the source of owners' equity:</w:t>
            </w:r>
          </w:p>
          <w:p w14:paraId="7D2FB8D7" w14:textId="07F78936" w:rsidR="00FE4A3B" w:rsidRPr="00727515" w:rsidRDefault="003A2BCD" w:rsidP="00F63C60">
            <w:pPr>
              <w:pStyle w:val="BodyText"/>
              <w:shd w:val="clear" w:color="auto" w:fill="auto"/>
              <w:tabs>
                <w:tab w:val="left" w:pos="432"/>
              </w:tabs>
              <w:spacing w:after="120" w:line="360" w:lineRule="auto"/>
              <w:ind w:firstLine="0"/>
              <w:rPr>
                <w:rFonts w:ascii="Arial" w:hAnsi="Arial" w:cs="Arial"/>
                <w:color w:val="010000"/>
                <w:sz w:val="20"/>
              </w:rPr>
            </w:pPr>
            <w:r>
              <w:rPr>
                <w:rFonts w:ascii="Arial" w:hAnsi="Arial" w:cs="Arial"/>
                <w:color w:val="010000"/>
                <w:sz w:val="20"/>
              </w:rPr>
              <w:t xml:space="preserve">Rights </w:t>
            </w:r>
            <w:r w:rsidR="00FE4A3B" w:rsidRPr="00727515">
              <w:rPr>
                <w:rFonts w:ascii="Arial" w:hAnsi="Arial" w:cs="Arial"/>
                <w:color w:val="010000"/>
                <w:sz w:val="20"/>
              </w:rPr>
              <w:t>exercise rate: 10:1 (equivalent to 10%)</w:t>
            </w:r>
          </w:p>
          <w:p w14:paraId="2AD31448" w14:textId="77777777" w:rsidR="00FE4A3B" w:rsidRPr="00727515" w:rsidRDefault="00FE4A3B" w:rsidP="00F63C60">
            <w:pPr>
              <w:pStyle w:val="BodyText"/>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On the record date for shareholders to exercise their rights to receive issued shares to increase share capital from the source of owners' equity, shareholders owning 10 shares will receive 01 additional issued share.</w:t>
            </w:r>
          </w:p>
          <w:p w14:paraId="7EBDD183" w14:textId="77777777" w:rsidR="00FE4A3B" w:rsidRPr="00727515" w:rsidRDefault="00FE4A3B" w:rsidP="00F63C60">
            <w:pPr>
              <w:pStyle w:val="BodyText"/>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Plan on handling fractional share: Shares issued to increase share capital from the source of owners' equity will be rounded down to the unit. Fractional shares (if any) will be canceled.</w:t>
            </w:r>
          </w:p>
          <w:p w14:paraId="531B9A1B" w14:textId="77777777" w:rsidR="00FE4A3B" w:rsidRPr="004F45E1" w:rsidRDefault="00FE4A3B" w:rsidP="004F45E1">
            <w:pPr>
              <w:pStyle w:val="BodyText"/>
              <w:shd w:val="clear" w:color="auto" w:fill="auto"/>
              <w:tabs>
                <w:tab w:val="left" w:pos="432"/>
              </w:tabs>
              <w:spacing w:after="120" w:line="360" w:lineRule="auto"/>
              <w:ind w:firstLine="0"/>
              <w:jc w:val="both"/>
              <w:rPr>
                <w:rFonts w:ascii="Arial" w:hAnsi="Arial" w:cs="Arial"/>
                <w:i/>
                <w:color w:val="010000"/>
                <w:sz w:val="20"/>
              </w:rPr>
            </w:pPr>
            <w:r w:rsidRPr="004F45E1">
              <w:rPr>
                <w:rFonts w:ascii="Arial" w:hAnsi="Arial" w:cs="Arial"/>
                <w:i/>
                <w:color w:val="010000"/>
                <w:sz w:val="20"/>
              </w:rPr>
              <w:t>For example: Shareholder A own</w:t>
            </w:r>
            <w:r w:rsidR="00AF104D" w:rsidRPr="004F45E1">
              <w:rPr>
                <w:rFonts w:ascii="Arial" w:hAnsi="Arial" w:cs="Arial"/>
                <w:i/>
                <w:color w:val="010000"/>
                <w:sz w:val="20"/>
              </w:rPr>
              <w:t>s</w:t>
            </w:r>
            <w:r w:rsidRPr="004F45E1">
              <w:rPr>
                <w:rFonts w:ascii="Arial" w:hAnsi="Arial" w:cs="Arial"/>
                <w:i/>
                <w:color w:val="010000"/>
                <w:sz w:val="20"/>
              </w:rPr>
              <w:t xml:space="preserve"> 101 shares at the record date of the list of shareholders to exercise rights to receive additional issued shares to increase share capital from the source of owners' equity. With a rate of 10:1 (equivalent to 10%), shareholder A receives 10.1 additional issued shares (101 * 10%). According to the above principles of handling fractional shares, shareholder A will receive 10 additional issued shares, and the fractional 0.1 </w:t>
            </w:r>
            <w:r w:rsidR="00AF104D" w:rsidRPr="004F45E1">
              <w:rPr>
                <w:rFonts w:ascii="Arial" w:hAnsi="Arial" w:cs="Arial"/>
                <w:i/>
                <w:color w:val="010000"/>
                <w:sz w:val="20"/>
              </w:rPr>
              <w:t>shares</w:t>
            </w:r>
            <w:r w:rsidRPr="004F45E1">
              <w:rPr>
                <w:rFonts w:ascii="Arial" w:hAnsi="Arial" w:cs="Arial"/>
                <w:i/>
                <w:color w:val="010000"/>
                <w:sz w:val="20"/>
              </w:rPr>
              <w:t xml:space="preserve"> will be canceled.</w:t>
            </w:r>
          </w:p>
          <w:p w14:paraId="64F3E00A" w14:textId="45C91954" w:rsidR="00FE4A3B" w:rsidRPr="00727515" w:rsidRDefault="00AF104D" w:rsidP="00F63C60">
            <w:pPr>
              <w:pStyle w:val="BodyText"/>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The right</w:t>
            </w:r>
            <w:r w:rsidR="00AD09EF">
              <w:rPr>
                <w:rFonts w:ascii="Arial" w:hAnsi="Arial" w:cs="Arial"/>
                <w:color w:val="010000"/>
                <w:sz w:val="20"/>
              </w:rPr>
              <w:t>s</w:t>
            </w:r>
            <w:r w:rsidR="00FE4A3B" w:rsidRPr="00727515">
              <w:rPr>
                <w:rFonts w:ascii="Arial" w:hAnsi="Arial" w:cs="Arial"/>
                <w:color w:val="010000"/>
                <w:sz w:val="20"/>
              </w:rPr>
              <w:t xml:space="preserve"> to receive shares issued to increase the share capital from </w:t>
            </w:r>
            <w:r w:rsidRPr="00727515">
              <w:rPr>
                <w:rFonts w:ascii="Arial" w:hAnsi="Arial" w:cs="Arial"/>
                <w:color w:val="010000"/>
                <w:sz w:val="20"/>
              </w:rPr>
              <w:t xml:space="preserve">the </w:t>
            </w:r>
            <w:r w:rsidR="00FE4A3B" w:rsidRPr="00727515">
              <w:rPr>
                <w:rFonts w:ascii="Arial" w:hAnsi="Arial" w:cs="Arial"/>
                <w:color w:val="010000"/>
                <w:sz w:val="20"/>
              </w:rPr>
              <w:t>source of owners' equity is not transferable.</w:t>
            </w:r>
          </w:p>
          <w:p w14:paraId="7AE6BE7D" w14:textId="77777777" w:rsidR="00FE4A3B" w:rsidRPr="00727515" w:rsidRDefault="00FE4A3B" w:rsidP="00F63C60">
            <w:pPr>
              <w:pStyle w:val="BodyText"/>
              <w:numPr>
                <w:ilvl w:val="0"/>
                <w:numId w:val="3"/>
              </w:numPr>
              <w:shd w:val="clear" w:color="auto" w:fill="auto"/>
              <w:tabs>
                <w:tab w:val="left" w:pos="432"/>
                <w:tab w:val="left" w:pos="889"/>
              </w:tabs>
              <w:spacing w:after="120" w:line="360" w:lineRule="auto"/>
              <w:ind w:firstLine="0"/>
              <w:rPr>
                <w:rFonts w:ascii="Arial" w:hAnsi="Arial" w:cs="Arial"/>
                <w:color w:val="010000"/>
                <w:sz w:val="20"/>
              </w:rPr>
            </w:pPr>
            <w:r w:rsidRPr="00727515">
              <w:rPr>
                <w:rFonts w:ascii="Arial" w:hAnsi="Arial" w:cs="Arial"/>
                <w:color w:val="010000"/>
                <w:sz w:val="20"/>
              </w:rPr>
              <w:t xml:space="preserve">For </w:t>
            </w:r>
            <w:r w:rsidR="00AF104D" w:rsidRPr="00727515">
              <w:rPr>
                <w:rFonts w:ascii="Arial" w:hAnsi="Arial" w:cs="Arial"/>
                <w:color w:val="010000"/>
                <w:sz w:val="20"/>
              </w:rPr>
              <w:t>the offering</w:t>
            </w:r>
            <w:r w:rsidRPr="00727515">
              <w:rPr>
                <w:rFonts w:ascii="Arial" w:hAnsi="Arial" w:cs="Arial"/>
                <w:color w:val="010000"/>
                <w:sz w:val="20"/>
              </w:rPr>
              <w:t xml:space="preserve"> to existing shareholders by </w:t>
            </w:r>
            <w:r w:rsidR="00AF104D" w:rsidRPr="00727515">
              <w:rPr>
                <w:rFonts w:ascii="Arial" w:hAnsi="Arial" w:cs="Arial"/>
                <w:color w:val="010000"/>
                <w:sz w:val="20"/>
              </w:rPr>
              <w:t xml:space="preserve">the method of exercising the </w:t>
            </w:r>
            <w:r w:rsidRPr="00727515">
              <w:rPr>
                <w:rFonts w:ascii="Arial" w:hAnsi="Arial" w:cs="Arial"/>
                <w:color w:val="010000"/>
                <w:sz w:val="20"/>
              </w:rPr>
              <w:t xml:space="preserve">rights </w:t>
            </w:r>
          </w:p>
          <w:p w14:paraId="0126BFF8" w14:textId="11C5A91C" w:rsidR="00FE4A3B" w:rsidRPr="00727515" w:rsidRDefault="00FE4A3B" w:rsidP="00F63C60">
            <w:pPr>
              <w:pStyle w:val="BodyText"/>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Right</w:t>
            </w:r>
            <w:r w:rsidR="006B5924">
              <w:rPr>
                <w:rFonts w:ascii="Arial" w:hAnsi="Arial" w:cs="Arial"/>
                <w:color w:val="010000"/>
                <w:sz w:val="20"/>
              </w:rPr>
              <w:t>s</w:t>
            </w:r>
            <w:r w:rsidRPr="00727515">
              <w:rPr>
                <w:rFonts w:ascii="Arial" w:hAnsi="Arial" w:cs="Arial"/>
                <w:color w:val="010000"/>
                <w:sz w:val="20"/>
              </w:rPr>
              <w:t xml:space="preserve"> exercise rate: 10:1 (equivalent to 10%)</w:t>
            </w:r>
          </w:p>
          <w:p w14:paraId="469F38A1" w14:textId="3E5782FB" w:rsidR="00FE4A3B" w:rsidRPr="00727515" w:rsidRDefault="00FE4A3B" w:rsidP="00F63C60">
            <w:pPr>
              <w:pStyle w:val="BodyText"/>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 xml:space="preserve">On the record date of the list of shareholders to exercise rights to buy </w:t>
            </w:r>
            <w:r w:rsidR="00AF104D" w:rsidRPr="00727515">
              <w:rPr>
                <w:rFonts w:ascii="Arial" w:hAnsi="Arial" w:cs="Arial"/>
                <w:color w:val="010000"/>
                <w:sz w:val="20"/>
              </w:rPr>
              <w:t>additionally</w:t>
            </w:r>
            <w:r w:rsidRPr="00727515">
              <w:rPr>
                <w:rFonts w:ascii="Arial" w:hAnsi="Arial" w:cs="Arial"/>
                <w:color w:val="010000"/>
                <w:sz w:val="20"/>
              </w:rPr>
              <w:t xml:space="preserve"> issued shares, shareholder</w:t>
            </w:r>
            <w:r w:rsidR="00AF104D" w:rsidRPr="00727515">
              <w:rPr>
                <w:rFonts w:ascii="Arial" w:hAnsi="Arial" w:cs="Arial"/>
                <w:color w:val="010000"/>
                <w:sz w:val="20"/>
              </w:rPr>
              <w:t>s who own</w:t>
            </w:r>
            <w:r w:rsidRPr="00727515">
              <w:rPr>
                <w:rFonts w:ascii="Arial" w:hAnsi="Arial" w:cs="Arial"/>
                <w:color w:val="010000"/>
                <w:sz w:val="20"/>
              </w:rPr>
              <w:t xml:space="preserve"> 01 share will be entitled to 01 purchasing right</w:t>
            </w:r>
            <w:r w:rsidR="00513253">
              <w:rPr>
                <w:rFonts w:ascii="Arial" w:hAnsi="Arial" w:cs="Arial"/>
                <w:color w:val="010000"/>
                <w:sz w:val="20"/>
              </w:rPr>
              <w:t>s</w:t>
            </w:r>
            <w:r w:rsidR="003A2BCD">
              <w:rPr>
                <w:rFonts w:ascii="Arial" w:hAnsi="Arial" w:cs="Arial"/>
                <w:color w:val="010000"/>
                <w:sz w:val="20"/>
              </w:rPr>
              <w:t>,</w:t>
            </w:r>
            <w:r w:rsidRPr="00727515">
              <w:rPr>
                <w:rFonts w:ascii="Arial" w:hAnsi="Arial" w:cs="Arial"/>
                <w:color w:val="010000"/>
                <w:sz w:val="20"/>
              </w:rPr>
              <w:t xml:space="preserve"> and for every 10 purchasing rights, they will be entitled to buy 01 additional issued share.</w:t>
            </w:r>
          </w:p>
          <w:p w14:paraId="654C406B" w14:textId="77777777" w:rsidR="00FE4A3B" w:rsidRPr="00727515" w:rsidRDefault="00FE4A3B" w:rsidP="00F63C60">
            <w:pPr>
              <w:pStyle w:val="BodyText"/>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lastRenderedPageBreak/>
              <w:t xml:space="preserve">Plan on handling fractional share: shares issued to existing shareholders will be rounded down to the unit, </w:t>
            </w:r>
            <w:r w:rsidR="00AF104D" w:rsidRPr="00727515">
              <w:rPr>
                <w:rFonts w:ascii="Arial" w:hAnsi="Arial" w:cs="Arial"/>
                <w:color w:val="010000"/>
                <w:sz w:val="20"/>
              </w:rPr>
              <w:t xml:space="preserve">and </w:t>
            </w:r>
            <w:r w:rsidRPr="00727515">
              <w:rPr>
                <w:rFonts w:ascii="Arial" w:hAnsi="Arial" w:cs="Arial"/>
                <w:color w:val="010000"/>
                <w:sz w:val="20"/>
              </w:rPr>
              <w:t>the fractional fraction will be assigned to the Board of Directors to decide to distribute to other parties at a price not lower than the offering price to existing shareholders.</w:t>
            </w:r>
          </w:p>
          <w:p w14:paraId="39503C90" w14:textId="54EB9C7B" w:rsidR="00FE4A3B" w:rsidRPr="003A2BCD" w:rsidRDefault="00FE4A3B" w:rsidP="00F63C60">
            <w:pPr>
              <w:pStyle w:val="BodyText"/>
              <w:shd w:val="clear" w:color="auto" w:fill="auto"/>
              <w:tabs>
                <w:tab w:val="left" w:pos="432"/>
              </w:tabs>
              <w:spacing w:after="120" w:line="360" w:lineRule="auto"/>
              <w:ind w:firstLine="0"/>
              <w:rPr>
                <w:rFonts w:ascii="Arial" w:hAnsi="Arial" w:cs="Arial"/>
                <w:i/>
                <w:color w:val="010000"/>
                <w:sz w:val="20"/>
              </w:rPr>
            </w:pPr>
            <w:r w:rsidRPr="003A2BCD">
              <w:rPr>
                <w:rFonts w:ascii="Arial" w:hAnsi="Arial" w:cs="Arial"/>
                <w:i/>
                <w:color w:val="010000"/>
                <w:sz w:val="20"/>
              </w:rPr>
              <w:t xml:space="preserve">For example: On the record date of the list of shareholders to exercise rights to buy additional issued shares, shareholder A owns 101 shares, </w:t>
            </w:r>
            <w:r w:rsidR="00AF104D" w:rsidRPr="003A2BCD">
              <w:rPr>
                <w:rFonts w:ascii="Arial" w:hAnsi="Arial" w:cs="Arial"/>
                <w:i/>
                <w:color w:val="010000"/>
                <w:sz w:val="20"/>
              </w:rPr>
              <w:t xml:space="preserve">and </w:t>
            </w:r>
            <w:r w:rsidRPr="003A2BCD">
              <w:rPr>
                <w:rFonts w:ascii="Arial" w:hAnsi="Arial" w:cs="Arial"/>
                <w:i/>
                <w:color w:val="010000"/>
                <w:sz w:val="20"/>
              </w:rPr>
              <w:t xml:space="preserve">the number of shares issued is calculated according to the </w:t>
            </w:r>
            <w:r w:rsidR="003A2BCD" w:rsidRPr="003A2BCD">
              <w:rPr>
                <w:rFonts w:ascii="Arial" w:hAnsi="Arial" w:cs="Arial"/>
                <w:i/>
                <w:color w:val="010000"/>
                <w:sz w:val="20"/>
              </w:rPr>
              <w:t xml:space="preserve">rights </w:t>
            </w:r>
            <w:r w:rsidRPr="003A2BCD">
              <w:rPr>
                <w:rFonts w:ascii="Arial" w:hAnsi="Arial" w:cs="Arial"/>
                <w:i/>
                <w:color w:val="010000"/>
                <w:sz w:val="20"/>
              </w:rPr>
              <w:t xml:space="preserve">exercise rate of 10:1 (equivalent to 10%)) is 10.1 (101 * 10%). Thus, shareholder A will be able to buy 10 new shares, </w:t>
            </w:r>
            <w:r w:rsidR="00AF104D" w:rsidRPr="003A2BCD">
              <w:rPr>
                <w:rFonts w:ascii="Arial" w:hAnsi="Arial" w:cs="Arial"/>
                <w:i/>
                <w:color w:val="010000"/>
                <w:sz w:val="20"/>
              </w:rPr>
              <w:t xml:space="preserve">and </w:t>
            </w:r>
            <w:r w:rsidRPr="003A2BCD">
              <w:rPr>
                <w:rFonts w:ascii="Arial" w:hAnsi="Arial" w:cs="Arial"/>
                <w:i/>
                <w:color w:val="010000"/>
                <w:sz w:val="20"/>
              </w:rPr>
              <w:t>the fractional number of 0.1 shares will be assigned to the Board of Directors to decide to distribute to other parties at a price not lower than the offering price to existing shareholders.</w:t>
            </w:r>
          </w:p>
          <w:p w14:paraId="5630252C" w14:textId="5DE1845E" w:rsidR="00FE4A3B" w:rsidRPr="00727515" w:rsidRDefault="00FE4A3B" w:rsidP="00F63C60">
            <w:pPr>
              <w:pStyle w:val="BodyText"/>
              <w:shd w:val="clear" w:color="auto" w:fill="auto"/>
              <w:tabs>
                <w:tab w:val="left" w:pos="432"/>
              </w:tabs>
              <w:spacing w:after="120" w:line="360" w:lineRule="auto"/>
              <w:ind w:firstLine="0"/>
              <w:rPr>
                <w:rFonts w:ascii="Arial" w:hAnsi="Arial" w:cs="Arial"/>
                <w:bCs/>
                <w:color w:val="010000"/>
                <w:sz w:val="20"/>
              </w:rPr>
            </w:pPr>
            <w:r w:rsidRPr="00727515">
              <w:rPr>
                <w:rFonts w:ascii="Arial" w:hAnsi="Arial" w:cs="Arial"/>
                <w:color w:val="010000"/>
                <w:sz w:val="20"/>
              </w:rPr>
              <w:t xml:space="preserve">The </w:t>
            </w:r>
            <w:r w:rsidR="003A2BCD">
              <w:rPr>
                <w:rFonts w:ascii="Arial" w:hAnsi="Arial" w:cs="Arial"/>
                <w:color w:val="010000"/>
                <w:sz w:val="20"/>
              </w:rPr>
              <w:t xml:space="preserve">rights </w:t>
            </w:r>
            <w:r w:rsidRPr="00727515">
              <w:rPr>
                <w:rFonts w:ascii="Arial" w:hAnsi="Arial" w:cs="Arial"/>
                <w:color w:val="010000"/>
                <w:sz w:val="20"/>
              </w:rPr>
              <w:t xml:space="preserve">to purchase may be transferred to another person at a mutually agreed price between both parties. The </w:t>
            </w:r>
            <w:r w:rsidR="003A2BCD">
              <w:rPr>
                <w:rFonts w:ascii="Arial" w:hAnsi="Arial" w:cs="Arial"/>
                <w:color w:val="010000"/>
                <w:sz w:val="20"/>
              </w:rPr>
              <w:t xml:space="preserve">rights </w:t>
            </w:r>
            <w:r w:rsidRPr="00727515">
              <w:rPr>
                <w:rFonts w:ascii="Arial" w:hAnsi="Arial" w:cs="Arial"/>
                <w:color w:val="010000"/>
                <w:sz w:val="20"/>
              </w:rPr>
              <w:t xml:space="preserve">to purchase can only be transferred once (the recipient of the transfer of the </w:t>
            </w:r>
            <w:r w:rsidR="003A2BCD">
              <w:rPr>
                <w:rFonts w:ascii="Arial" w:hAnsi="Arial" w:cs="Arial"/>
                <w:color w:val="010000"/>
                <w:sz w:val="20"/>
              </w:rPr>
              <w:t xml:space="preserve">rights </w:t>
            </w:r>
            <w:r w:rsidRPr="00727515">
              <w:rPr>
                <w:rFonts w:ascii="Arial" w:hAnsi="Arial" w:cs="Arial"/>
                <w:color w:val="010000"/>
                <w:sz w:val="20"/>
              </w:rPr>
              <w:t xml:space="preserve">to purchase shares is not allowed to transfer it further to a third party). </w:t>
            </w:r>
          </w:p>
        </w:tc>
      </w:tr>
      <w:tr w:rsidR="00FE4A3B" w:rsidRPr="00727515" w14:paraId="3528AAD8" w14:textId="77777777" w:rsidTr="00F63C60">
        <w:tc>
          <w:tcPr>
            <w:tcW w:w="5000" w:type="pct"/>
            <w:gridSpan w:val="2"/>
            <w:shd w:val="clear" w:color="auto" w:fill="auto"/>
            <w:vAlign w:val="center"/>
          </w:tcPr>
          <w:p w14:paraId="25B62F1C" w14:textId="31875EC2" w:rsidR="00FE4A3B" w:rsidRPr="00727515" w:rsidRDefault="00FE4A3B" w:rsidP="00F63C60">
            <w:pPr>
              <w:pStyle w:val="BodyText"/>
              <w:numPr>
                <w:ilvl w:val="0"/>
                <w:numId w:val="2"/>
              </w:numPr>
              <w:shd w:val="clear" w:color="auto" w:fill="auto"/>
              <w:tabs>
                <w:tab w:val="left" w:pos="432"/>
                <w:tab w:val="left" w:pos="684"/>
              </w:tabs>
              <w:spacing w:after="120" w:line="360" w:lineRule="auto"/>
              <w:ind w:firstLine="0"/>
              <w:rPr>
                <w:rFonts w:ascii="Arial" w:hAnsi="Arial" w:cs="Arial"/>
                <w:color w:val="010000"/>
                <w:sz w:val="20"/>
              </w:rPr>
            </w:pPr>
            <w:r w:rsidRPr="00727515">
              <w:rPr>
                <w:rFonts w:ascii="Arial" w:hAnsi="Arial" w:cs="Arial"/>
                <w:color w:val="010000"/>
                <w:sz w:val="20"/>
              </w:rPr>
              <w:lastRenderedPageBreak/>
              <w:t xml:space="preserve">Method of handling fractional shares and undistributed shares (for expected issued </w:t>
            </w:r>
            <w:r w:rsidR="00AF104D" w:rsidRPr="00727515">
              <w:rPr>
                <w:rFonts w:ascii="Arial" w:hAnsi="Arial" w:cs="Arial"/>
                <w:color w:val="010000"/>
                <w:sz w:val="20"/>
              </w:rPr>
              <w:t>shares</w:t>
            </w:r>
            <w:r w:rsidRPr="00727515">
              <w:rPr>
                <w:rFonts w:ascii="Arial" w:hAnsi="Arial" w:cs="Arial"/>
                <w:color w:val="010000"/>
                <w:sz w:val="20"/>
              </w:rPr>
              <w:t xml:space="preserve"> offered to existing shareholders)</w:t>
            </w:r>
          </w:p>
          <w:p w14:paraId="593A1D96" w14:textId="77777777" w:rsidR="00FE4A3B" w:rsidRPr="00727515" w:rsidRDefault="00FE4A3B" w:rsidP="00F63C60">
            <w:pPr>
              <w:pStyle w:val="BodyText"/>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a. Number of fractional shares and undistributed shares includes the following cases:</w:t>
            </w:r>
          </w:p>
          <w:p w14:paraId="258DEA39" w14:textId="77777777" w:rsidR="00FE4A3B" w:rsidRPr="00727515" w:rsidRDefault="00FE4A3B" w:rsidP="00F63C60">
            <w:pPr>
              <w:pStyle w:val="BodyText"/>
              <w:numPr>
                <w:ilvl w:val="0"/>
                <w:numId w:val="1"/>
              </w:numPr>
              <w:shd w:val="clear" w:color="auto" w:fill="auto"/>
              <w:tabs>
                <w:tab w:val="left" w:pos="432"/>
                <w:tab w:val="left" w:pos="1142"/>
              </w:tabs>
              <w:spacing w:after="120" w:line="360" w:lineRule="auto"/>
              <w:ind w:firstLine="0"/>
              <w:rPr>
                <w:rFonts w:ascii="Arial" w:hAnsi="Arial" w:cs="Arial"/>
                <w:color w:val="010000"/>
                <w:sz w:val="20"/>
              </w:rPr>
            </w:pPr>
            <w:r w:rsidRPr="00727515">
              <w:rPr>
                <w:rFonts w:ascii="Arial" w:hAnsi="Arial" w:cs="Arial"/>
                <w:color w:val="010000"/>
                <w:sz w:val="20"/>
              </w:rPr>
              <w:t>Fractional shares arising from rounding (if any).</w:t>
            </w:r>
          </w:p>
          <w:p w14:paraId="505F414E" w14:textId="77777777" w:rsidR="00FE4A3B" w:rsidRPr="00727515" w:rsidRDefault="00FE4A3B" w:rsidP="00F63C60">
            <w:pPr>
              <w:pStyle w:val="BodyText"/>
              <w:numPr>
                <w:ilvl w:val="0"/>
                <w:numId w:val="1"/>
              </w:numPr>
              <w:shd w:val="clear" w:color="auto" w:fill="auto"/>
              <w:tabs>
                <w:tab w:val="left" w:pos="432"/>
                <w:tab w:val="left" w:pos="1142"/>
              </w:tabs>
              <w:spacing w:after="120" w:line="360" w:lineRule="auto"/>
              <w:ind w:firstLine="0"/>
              <w:rPr>
                <w:rFonts w:ascii="Arial" w:hAnsi="Arial" w:cs="Arial"/>
                <w:color w:val="010000"/>
                <w:sz w:val="20"/>
              </w:rPr>
            </w:pPr>
            <w:r w:rsidRPr="00727515">
              <w:rPr>
                <w:rFonts w:ascii="Arial" w:hAnsi="Arial" w:cs="Arial"/>
                <w:color w:val="010000"/>
                <w:sz w:val="20"/>
              </w:rPr>
              <w:t>Number of shares that existing shareholders refuse to purchase and are not fully subscribed.</w:t>
            </w:r>
          </w:p>
          <w:p w14:paraId="71593ACE" w14:textId="77777777" w:rsidR="00FE4A3B" w:rsidRPr="003A2BCD" w:rsidRDefault="00FE4A3B" w:rsidP="00F63C60">
            <w:pPr>
              <w:pStyle w:val="BodyText"/>
              <w:shd w:val="clear" w:color="auto" w:fill="auto"/>
              <w:tabs>
                <w:tab w:val="left" w:pos="432"/>
              </w:tabs>
              <w:spacing w:after="120" w:line="360" w:lineRule="auto"/>
              <w:ind w:firstLine="0"/>
              <w:rPr>
                <w:rFonts w:ascii="Arial" w:hAnsi="Arial" w:cs="Arial"/>
                <w:i/>
                <w:color w:val="010000"/>
                <w:sz w:val="20"/>
              </w:rPr>
            </w:pPr>
            <w:r w:rsidRPr="003A2BCD">
              <w:rPr>
                <w:rFonts w:ascii="Arial" w:hAnsi="Arial" w:cs="Arial"/>
                <w:i/>
                <w:color w:val="010000"/>
                <w:sz w:val="20"/>
              </w:rPr>
              <w:t>(Hereinafter referred to as "remaining shares")</w:t>
            </w:r>
          </w:p>
          <w:p w14:paraId="0731D924" w14:textId="77777777" w:rsidR="00FE4A3B" w:rsidRPr="00727515" w:rsidRDefault="00FE4A3B" w:rsidP="00F63C60">
            <w:pPr>
              <w:pStyle w:val="BodyText"/>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b. Method of handling:</w:t>
            </w:r>
          </w:p>
          <w:p w14:paraId="1E63E790" w14:textId="24F72734" w:rsidR="00FE4A3B" w:rsidRPr="00727515" w:rsidRDefault="00FE4A3B" w:rsidP="00F63C60">
            <w:pPr>
              <w:pStyle w:val="BodyText"/>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For the remaining shares,</w:t>
            </w:r>
            <w:r w:rsidR="00F63C60" w:rsidRPr="00727515">
              <w:rPr>
                <w:rFonts w:ascii="Arial" w:hAnsi="Arial" w:cs="Arial"/>
                <w:color w:val="010000"/>
                <w:sz w:val="20"/>
              </w:rPr>
              <w:t xml:space="preserve"> </w:t>
            </w:r>
            <w:r w:rsidRPr="00727515">
              <w:rPr>
                <w:rFonts w:ascii="Arial" w:hAnsi="Arial" w:cs="Arial"/>
                <w:color w:val="010000"/>
                <w:sz w:val="20"/>
              </w:rPr>
              <w:t xml:space="preserve">depending on the actual situation at the time of the offering, the Board of Directors of the Company has the </w:t>
            </w:r>
            <w:r w:rsidR="003A2BCD">
              <w:rPr>
                <w:rFonts w:ascii="Arial" w:hAnsi="Arial" w:cs="Arial"/>
                <w:color w:val="010000"/>
                <w:sz w:val="20"/>
              </w:rPr>
              <w:t xml:space="preserve">rights </w:t>
            </w:r>
            <w:r w:rsidRPr="00727515">
              <w:rPr>
                <w:rFonts w:ascii="Arial" w:hAnsi="Arial" w:cs="Arial"/>
                <w:color w:val="010000"/>
                <w:sz w:val="20"/>
              </w:rPr>
              <w:t xml:space="preserve">to: (i) Decide to end the issuance and report the results of the issuance before the expiration of the share distribution according to legal regulations; or (ii) Decide to select investors </w:t>
            </w:r>
            <w:r w:rsidRPr="003A2BCD">
              <w:rPr>
                <w:rFonts w:ascii="Arial" w:hAnsi="Arial" w:cs="Arial"/>
                <w:i/>
                <w:color w:val="010000"/>
                <w:sz w:val="20"/>
              </w:rPr>
              <w:t>(including shareholders of the Company and/or other investors interested in purchasing the Company's additional issued shares, hereinafter referred to as "Investors"),</w:t>
            </w:r>
            <w:r w:rsidRPr="00727515">
              <w:rPr>
                <w:rFonts w:ascii="Arial" w:hAnsi="Arial" w:cs="Arial"/>
                <w:color w:val="010000"/>
                <w:sz w:val="20"/>
              </w:rPr>
              <w:t xml:space="preserve"> the </w:t>
            </w:r>
            <w:r w:rsidR="0048413F" w:rsidRPr="00727515">
              <w:rPr>
                <w:rFonts w:ascii="Arial" w:hAnsi="Arial" w:cs="Arial"/>
                <w:color w:val="010000"/>
                <w:sz w:val="20"/>
              </w:rPr>
              <w:t>number</w:t>
            </w:r>
            <w:r w:rsidR="0048413F" w:rsidRPr="00727515">
              <w:rPr>
                <w:rFonts w:ascii="Arial" w:hAnsi="Arial" w:cs="Arial"/>
                <w:color w:val="010000"/>
                <w:sz w:val="20"/>
                <w:lang w:val="vi-VN"/>
              </w:rPr>
              <w:t xml:space="preserve"> </w:t>
            </w:r>
            <w:r w:rsidRPr="00727515">
              <w:rPr>
                <w:rFonts w:ascii="Arial" w:hAnsi="Arial" w:cs="Arial"/>
                <w:color w:val="010000"/>
                <w:sz w:val="20"/>
              </w:rPr>
              <w:t xml:space="preserve">of Investors and the quantity of shares allocated to each Investor at </w:t>
            </w:r>
            <w:r w:rsidR="0048413F" w:rsidRPr="00727515">
              <w:rPr>
                <w:rFonts w:ascii="Arial" w:hAnsi="Arial" w:cs="Arial"/>
                <w:color w:val="010000"/>
                <w:sz w:val="20"/>
              </w:rPr>
              <w:t>an</w:t>
            </w:r>
            <w:r w:rsidRPr="00727515">
              <w:rPr>
                <w:rFonts w:ascii="Arial" w:hAnsi="Arial" w:cs="Arial"/>
                <w:color w:val="010000"/>
                <w:sz w:val="20"/>
              </w:rPr>
              <w:t xml:space="preserve"> offering price not lower than the offering price to existing shareholders based on the following criteria:</w:t>
            </w:r>
          </w:p>
          <w:p w14:paraId="79B73C9A" w14:textId="55AA82F2" w:rsidR="00FE4A3B" w:rsidRPr="00727515" w:rsidRDefault="00FE4A3B" w:rsidP="00F63C60">
            <w:pPr>
              <w:pStyle w:val="BodyText"/>
              <w:numPr>
                <w:ilvl w:val="0"/>
                <w:numId w:val="1"/>
              </w:numPr>
              <w:shd w:val="clear" w:color="auto" w:fill="auto"/>
              <w:tabs>
                <w:tab w:val="left" w:pos="432"/>
                <w:tab w:val="left" w:pos="1147"/>
              </w:tabs>
              <w:spacing w:after="120" w:line="360" w:lineRule="auto"/>
              <w:ind w:firstLine="0"/>
              <w:rPr>
                <w:rFonts w:ascii="Arial" w:hAnsi="Arial" w:cs="Arial"/>
                <w:color w:val="010000"/>
                <w:sz w:val="20"/>
              </w:rPr>
            </w:pPr>
            <w:r w:rsidRPr="00727515">
              <w:rPr>
                <w:rFonts w:ascii="Arial" w:hAnsi="Arial" w:cs="Arial"/>
                <w:color w:val="010000"/>
                <w:sz w:val="20"/>
              </w:rPr>
              <w:t xml:space="preserve">Domestic organizations </w:t>
            </w:r>
            <w:r w:rsidR="009952DA">
              <w:rPr>
                <w:rFonts w:ascii="Arial" w:hAnsi="Arial" w:cs="Arial"/>
                <w:color w:val="010000"/>
                <w:sz w:val="20"/>
              </w:rPr>
              <w:t xml:space="preserve">and </w:t>
            </w:r>
            <w:r w:rsidRPr="00727515">
              <w:rPr>
                <w:rFonts w:ascii="Arial" w:hAnsi="Arial" w:cs="Arial"/>
                <w:color w:val="010000"/>
                <w:sz w:val="20"/>
              </w:rPr>
              <w:t xml:space="preserve">individuals with financial capacity and investment </w:t>
            </w:r>
            <w:r w:rsidR="0048413F" w:rsidRPr="00727515">
              <w:rPr>
                <w:rFonts w:ascii="Arial" w:hAnsi="Arial" w:cs="Arial"/>
                <w:color w:val="010000"/>
                <w:sz w:val="20"/>
              </w:rPr>
              <w:t>need</w:t>
            </w:r>
            <w:r w:rsidRPr="00727515">
              <w:rPr>
                <w:rFonts w:ascii="Arial" w:hAnsi="Arial" w:cs="Arial"/>
                <w:color w:val="010000"/>
                <w:sz w:val="20"/>
              </w:rPr>
              <w:t xml:space="preserve"> to purchase the Company's additional issued </w:t>
            </w:r>
            <w:r w:rsidR="0048413F" w:rsidRPr="00727515">
              <w:rPr>
                <w:rFonts w:ascii="Arial" w:hAnsi="Arial" w:cs="Arial"/>
                <w:color w:val="010000"/>
                <w:sz w:val="20"/>
              </w:rPr>
              <w:t>shares</w:t>
            </w:r>
          </w:p>
          <w:p w14:paraId="059CD01E" w14:textId="210D725A" w:rsidR="00FE4A3B" w:rsidRPr="00727515" w:rsidRDefault="00FE4A3B" w:rsidP="00F63C60">
            <w:pPr>
              <w:pStyle w:val="BodyText"/>
              <w:numPr>
                <w:ilvl w:val="0"/>
                <w:numId w:val="1"/>
              </w:numPr>
              <w:shd w:val="clear" w:color="auto" w:fill="auto"/>
              <w:tabs>
                <w:tab w:val="left" w:pos="432"/>
                <w:tab w:val="left" w:pos="1147"/>
              </w:tabs>
              <w:spacing w:after="120" w:line="360" w:lineRule="auto"/>
              <w:ind w:firstLine="0"/>
              <w:rPr>
                <w:rFonts w:ascii="Arial" w:hAnsi="Arial" w:cs="Arial"/>
                <w:color w:val="010000"/>
                <w:sz w:val="20"/>
              </w:rPr>
            </w:pPr>
            <w:r w:rsidRPr="00727515">
              <w:rPr>
                <w:rFonts w:ascii="Arial" w:hAnsi="Arial" w:cs="Arial"/>
                <w:color w:val="010000"/>
                <w:sz w:val="20"/>
              </w:rPr>
              <w:t xml:space="preserve">The distribution of the remaining shares ensures compliance with the provisions of Article 42 of Decree </w:t>
            </w:r>
            <w:r w:rsidR="00F63C60" w:rsidRPr="00727515">
              <w:rPr>
                <w:rFonts w:ascii="Arial" w:hAnsi="Arial" w:cs="Arial"/>
                <w:color w:val="010000"/>
                <w:sz w:val="20"/>
              </w:rPr>
              <w:t xml:space="preserve">No. </w:t>
            </w:r>
            <w:r w:rsidRPr="00727515">
              <w:rPr>
                <w:rFonts w:ascii="Arial" w:hAnsi="Arial" w:cs="Arial"/>
                <w:color w:val="010000"/>
                <w:sz w:val="20"/>
              </w:rPr>
              <w:t xml:space="preserve">155/2020/ND-CP dated December 31, 2020, and Clause 2 of Article 195 of the Law on </w:t>
            </w:r>
            <w:r w:rsidR="0048413F" w:rsidRPr="00727515">
              <w:rPr>
                <w:rFonts w:ascii="Arial" w:hAnsi="Arial" w:cs="Arial"/>
                <w:color w:val="010000"/>
                <w:sz w:val="20"/>
              </w:rPr>
              <w:t>Enterprise.</w:t>
            </w:r>
          </w:p>
          <w:p w14:paraId="6BE8BF3A" w14:textId="77777777" w:rsidR="00FE4A3B" w:rsidRPr="00727515" w:rsidRDefault="00FE4A3B" w:rsidP="00F63C60">
            <w:pPr>
              <w:pStyle w:val="BodyText"/>
              <w:numPr>
                <w:ilvl w:val="0"/>
                <w:numId w:val="1"/>
              </w:numPr>
              <w:shd w:val="clear" w:color="auto" w:fill="auto"/>
              <w:tabs>
                <w:tab w:val="left" w:pos="432"/>
                <w:tab w:val="left" w:pos="1147"/>
              </w:tabs>
              <w:spacing w:after="120" w:line="360" w:lineRule="auto"/>
              <w:ind w:firstLine="0"/>
              <w:rPr>
                <w:rFonts w:ascii="Arial" w:hAnsi="Arial" w:cs="Arial"/>
                <w:color w:val="010000"/>
                <w:sz w:val="20"/>
              </w:rPr>
            </w:pPr>
            <w:r w:rsidRPr="00727515">
              <w:rPr>
                <w:rFonts w:ascii="Arial" w:hAnsi="Arial" w:cs="Arial"/>
                <w:color w:val="010000"/>
                <w:sz w:val="20"/>
              </w:rPr>
              <w:t>The foreign ownership rate of the investor in the Company complies with legal regulations.</w:t>
            </w:r>
          </w:p>
          <w:p w14:paraId="5AFCF3FA" w14:textId="77777777" w:rsidR="004D70E6" w:rsidRPr="00727515" w:rsidRDefault="00FE4A3B" w:rsidP="00F63C60">
            <w:pPr>
              <w:pStyle w:val="BodyText"/>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 xml:space="preserve">In case the share distribution period as prescribed by law expires </w:t>
            </w:r>
            <w:r w:rsidRPr="009952DA">
              <w:rPr>
                <w:rFonts w:ascii="Arial" w:hAnsi="Arial" w:cs="Arial"/>
                <w:i/>
                <w:color w:val="010000"/>
                <w:sz w:val="20"/>
              </w:rPr>
              <w:t>(including the extension period, if any)</w:t>
            </w:r>
            <w:r w:rsidRPr="00727515">
              <w:rPr>
                <w:rFonts w:ascii="Arial" w:hAnsi="Arial" w:cs="Arial"/>
                <w:color w:val="010000"/>
                <w:sz w:val="20"/>
              </w:rPr>
              <w:t>, and shares are still not fully distributed, the remaining undistributed shares will be canceled, and the issuance will be concluded.</w:t>
            </w:r>
          </w:p>
        </w:tc>
      </w:tr>
      <w:tr w:rsidR="00FE4A3B" w:rsidRPr="00727515" w14:paraId="38DF88F4" w14:textId="77777777" w:rsidTr="00F63C60">
        <w:tc>
          <w:tcPr>
            <w:tcW w:w="5000" w:type="pct"/>
            <w:gridSpan w:val="2"/>
            <w:shd w:val="clear" w:color="auto" w:fill="auto"/>
            <w:vAlign w:val="center"/>
          </w:tcPr>
          <w:p w14:paraId="742EDEF5" w14:textId="77777777" w:rsidR="004D70E6" w:rsidRPr="00727515" w:rsidRDefault="004D70E6" w:rsidP="00F63C60">
            <w:pPr>
              <w:pStyle w:val="BodyText"/>
              <w:numPr>
                <w:ilvl w:val="0"/>
                <w:numId w:val="2"/>
              </w:numPr>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lastRenderedPageBreak/>
              <w:t>Restrictions on share transfer:</w:t>
            </w:r>
          </w:p>
          <w:p w14:paraId="452C4993" w14:textId="77777777" w:rsidR="004D70E6" w:rsidRPr="00727515" w:rsidRDefault="004D70E6" w:rsidP="00F63C60">
            <w:pPr>
              <w:pStyle w:val="BodyText"/>
              <w:numPr>
                <w:ilvl w:val="0"/>
                <w:numId w:val="6"/>
              </w:numPr>
              <w:shd w:val="clear" w:color="auto" w:fill="auto"/>
              <w:tabs>
                <w:tab w:val="left" w:pos="432"/>
                <w:tab w:val="left" w:pos="876"/>
              </w:tabs>
              <w:spacing w:after="120" w:line="360" w:lineRule="auto"/>
              <w:ind w:left="0" w:firstLine="0"/>
              <w:rPr>
                <w:rFonts w:ascii="Arial" w:hAnsi="Arial" w:cs="Arial"/>
                <w:color w:val="010000"/>
                <w:sz w:val="20"/>
              </w:rPr>
            </w:pPr>
            <w:r w:rsidRPr="00727515">
              <w:rPr>
                <w:rFonts w:ascii="Arial" w:hAnsi="Arial" w:cs="Arial"/>
                <w:color w:val="010000"/>
                <w:sz w:val="20"/>
              </w:rPr>
              <w:t>For number of share issuance to increase share capital from the source of owners’ equity</w:t>
            </w:r>
          </w:p>
          <w:p w14:paraId="4F0F6DE2" w14:textId="7F702487" w:rsidR="004D70E6" w:rsidRPr="00727515" w:rsidRDefault="004D70E6" w:rsidP="00F63C60">
            <w:pPr>
              <w:pStyle w:val="BodyText"/>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 xml:space="preserve">Shares issued to increase the share capital from </w:t>
            </w:r>
            <w:r w:rsidR="0048413F" w:rsidRPr="00727515">
              <w:rPr>
                <w:rFonts w:ascii="Arial" w:hAnsi="Arial" w:cs="Arial"/>
                <w:color w:val="010000"/>
                <w:sz w:val="20"/>
              </w:rPr>
              <w:t>the source</w:t>
            </w:r>
            <w:r w:rsidRPr="00727515">
              <w:rPr>
                <w:rFonts w:ascii="Arial" w:hAnsi="Arial" w:cs="Arial"/>
                <w:color w:val="010000"/>
                <w:sz w:val="20"/>
              </w:rPr>
              <w:t xml:space="preserve"> of owners' equity are common shares and are not subject to transfer restrictions.</w:t>
            </w:r>
          </w:p>
          <w:p w14:paraId="1DF75D02" w14:textId="77777777" w:rsidR="004D70E6" w:rsidRPr="00727515" w:rsidRDefault="004D70E6" w:rsidP="00F63C60">
            <w:pPr>
              <w:pStyle w:val="BodyText"/>
              <w:numPr>
                <w:ilvl w:val="0"/>
                <w:numId w:val="6"/>
              </w:numPr>
              <w:shd w:val="clear" w:color="auto" w:fill="auto"/>
              <w:tabs>
                <w:tab w:val="left" w:pos="432"/>
                <w:tab w:val="left" w:pos="876"/>
              </w:tabs>
              <w:spacing w:after="120" w:line="360" w:lineRule="auto"/>
              <w:ind w:left="0" w:firstLine="0"/>
              <w:rPr>
                <w:rFonts w:ascii="Arial" w:hAnsi="Arial" w:cs="Arial"/>
                <w:color w:val="010000"/>
                <w:sz w:val="20"/>
              </w:rPr>
            </w:pPr>
            <w:r w:rsidRPr="00727515">
              <w:rPr>
                <w:rFonts w:ascii="Arial" w:hAnsi="Arial" w:cs="Arial"/>
                <w:color w:val="010000"/>
                <w:sz w:val="20"/>
              </w:rPr>
              <w:t>For number of issued shares offered to existing shareholders</w:t>
            </w:r>
          </w:p>
          <w:p w14:paraId="35B7CA67" w14:textId="77777777" w:rsidR="004D70E6" w:rsidRPr="00727515" w:rsidRDefault="004D70E6" w:rsidP="00F63C60">
            <w:pPr>
              <w:pStyle w:val="BodyText"/>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Shares issued to existing shareholders are common shares and are not subject to transfer restrictions.</w:t>
            </w:r>
          </w:p>
          <w:p w14:paraId="66DC9F7E" w14:textId="4C0056B7" w:rsidR="00FE4A3B" w:rsidRPr="00727515" w:rsidRDefault="004D70E6" w:rsidP="00F63C60">
            <w:pPr>
              <w:pStyle w:val="Heading20"/>
              <w:keepNext/>
              <w:shd w:val="clear" w:color="auto" w:fill="auto"/>
              <w:tabs>
                <w:tab w:val="left" w:pos="432"/>
                <w:tab w:val="left" w:pos="671"/>
              </w:tabs>
              <w:spacing w:after="120" w:line="360" w:lineRule="auto"/>
              <w:outlineLvl w:val="9"/>
              <w:rPr>
                <w:rFonts w:ascii="Arial" w:hAnsi="Arial" w:cs="Arial"/>
                <w:b w:val="0"/>
                <w:color w:val="010000"/>
                <w:sz w:val="20"/>
              </w:rPr>
            </w:pPr>
            <w:r w:rsidRPr="00727515">
              <w:rPr>
                <w:rFonts w:ascii="Arial" w:hAnsi="Arial" w:cs="Arial"/>
                <w:b w:val="0"/>
                <w:color w:val="010000"/>
                <w:sz w:val="20"/>
              </w:rPr>
              <w:t xml:space="preserve">In the case where the Company distributes the remaining shares to Investors in need, the number of </w:t>
            </w:r>
            <w:r w:rsidR="0048413F" w:rsidRPr="00727515">
              <w:rPr>
                <w:rFonts w:ascii="Arial" w:hAnsi="Arial" w:cs="Arial"/>
                <w:b w:val="0"/>
                <w:color w:val="010000"/>
                <w:sz w:val="20"/>
              </w:rPr>
              <w:t>shares</w:t>
            </w:r>
            <w:r w:rsidRPr="00727515">
              <w:rPr>
                <w:rFonts w:ascii="Arial" w:hAnsi="Arial" w:cs="Arial"/>
                <w:b w:val="0"/>
                <w:color w:val="010000"/>
                <w:sz w:val="20"/>
              </w:rPr>
              <w:t xml:space="preserve"> offered above will be restricted from transfer within 01 year from the date of completion of the offering.</w:t>
            </w:r>
          </w:p>
        </w:tc>
      </w:tr>
      <w:tr w:rsidR="004D70E6" w:rsidRPr="00727515" w14:paraId="0BFF98BA" w14:textId="77777777" w:rsidTr="00F63C60">
        <w:tc>
          <w:tcPr>
            <w:tcW w:w="5000" w:type="pct"/>
            <w:gridSpan w:val="2"/>
            <w:shd w:val="clear" w:color="auto" w:fill="auto"/>
            <w:vAlign w:val="center"/>
          </w:tcPr>
          <w:p w14:paraId="7295CCDB" w14:textId="77777777" w:rsidR="004D70E6" w:rsidRPr="00727515" w:rsidRDefault="004D70E6" w:rsidP="00F63C60">
            <w:pPr>
              <w:pStyle w:val="Heading20"/>
              <w:keepNext/>
              <w:numPr>
                <w:ilvl w:val="0"/>
                <w:numId w:val="2"/>
              </w:numPr>
              <w:shd w:val="clear" w:color="auto" w:fill="auto"/>
              <w:tabs>
                <w:tab w:val="left" w:pos="432"/>
                <w:tab w:val="left" w:pos="671"/>
              </w:tabs>
              <w:spacing w:after="120" w:line="360" w:lineRule="auto"/>
              <w:outlineLvl w:val="9"/>
              <w:rPr>
                <w:rFonts w:ascii="Arial" w:hAnsi="Arial" w:cs="Arial"/>
                <w:b w:val="0"/>
                <w:color w:val="010000"/>
                <w:sz w:val="20"/>
              </w:rPr>
            </w:pPr>
            <w:r w:rsidRPr="00727515">
              <w:rPr>
                <w:rFonts w:ascii="Arial" w:hAnsi="Arial" w:cs="Arial"/>
                <w:b w:val="0"/>
                <w:color w:val="010000"/>
                <w:sz w:val="20"/>
              </w:rPr>
              <w:t>Implementation time:</w:t>
            </w:r>
          </w:p>
          <w:p w14:paraId="77E0F40D" w14:textId="77777777" w:rsidR="004D70E6" w:rsidRPr="00727515" w:rsidRDefault="004D70E6" w:rsidP="00F63C60">
            <w:pPr>
              <w:pStyle w:val="Heading20"/>
              <w:keepNext/>
              <w:shd w:val="clear" w:color="auto" w:fill="auto"/>
              <w:tabs>
                <w:tab w:val="left" w:pos="432"/>
                <w:tab w:val="left" w:pos="671"/>
              </w:tabs>
              <w:spacing w:after="120" w:line="360" w:lineRule="auto"/>
              <w:outlineLvl w:val="9"/>
              <w:rPr>
                <w:rFonts w:ascii="Arial" w:hAnsi="Arial" w:cs="Arial"/>
                <w:b w:val="0"/>
                <w:color w:val="010000"/>
                <w:sz w:val="20"/>
              </w:rPr>
            </w:pPr>
            <w:r w:rsidRPr="00727515">
              <w:rPr>
                <w:rFonts w:ascii="Arial" w:hAnsi="Arial" w:cs="Arial"/>
                <w:b w:val="0"/>
                <w:color w:val="010000"/>
                <w:sz w:val="20"/>
              </w:rPr>
              <w:t>Expected from Q2/2024 to Q1/2025, after the Company completes the registration procedures and obtains the License/Approval for issuance from the State Securities Commission according to legal regulations.</w:t>
            </w:r>
          </w:p>
        </w:tc>
      </w:tr>
    </w:tbl>
    <w:p w14:paraId="6792D0BD" w14:textId="77777777" w:rsidR="00FE4A3B" w:rsidRPr="00727515" w:rsidRDefault="00FE4A3B" w:rsidP="00F63C60">
      <w:pPr>
        <w:pStyle w:val="Heading20"/>
        <w:keepNext/>
        <w:shd w:val="clear" w:color="auto" w:fill="auto"/>
        <w:tabs>
          <w:tab w:val="left" w:pos="432"/>
        </w:tabs>
        <w:spacing w:after="120" w:line="360" w:lineRule="auto"/>
        <w:outlineLvl w:val="9"/>
        <w:rPr>
          <w:rFonts w:ascii="Arial" w:hAnsi="Arial" w:cs="Arial"/>
          <w:b w:val="0"/>
          <w:color w:val="010000"/>
          <w:sz w:val="20"/>
        </w:rPr>
      </w:pPr>
      <w:r w:rsidRPr="00727515">
        <w:rPr>
          <w:rFonts w:ascii="Arial" w:hAnsi="Arial" w:cs="Arial"/>
          <w:b w:val="0"/>
          <w:color w:val="010000"/>
          <w:sz w:val="20"/>
        </w:rPr>
        <w:t>Article 2: Approve the plan on using capital obtained from the public offering of additional shares to existing shareholders</w:t>
      </w:r>
    </w:p>
    <w:p w14:paraId="065ED335" w14:textId="77777777" w:rsidR="00FE4A3B" w:rsidRPr="00727515" w:rsidRDefault="00FE4A3B" w:rsidP="00F63C60">
      <w:pPr>
        <w:pStyle w:val="BodyText"/>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The total amount expected to be received from the offering (expected VND15,092,320,000) will be used by the Company to supplement working capital for the Company's production and business activities as follows:</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44"/>
        <w:gridCol w:w="4669"/>
        <w:gridCol w:w="2123"/>
        <w:gridCol w:w="1681"/>
      </w:tblGrid>
      <w:tr w:rsidR="00FE4A3B" w:rsidRPr="00727515" w14:paraId="258A8807" w14:textId="77777777" w:rsidTr="00F63C60">
        <w:tc>
          <w:tcPr>
            <w:tcW w:w="302" w:type="pct"/>
            <w:shd w:val="clear" w:color="auto" w:fill="auto"/>
            <w:vAlign w:val="center"/>
          </w:tcPr>
          <w:p w14:paraId="7ED944FC" w14:textId="1E139AB1" w:rsidR="00FE4A3B" w:rsidRPr="00727515" w:rsidRDefault="00F63C60" w:rsidP="00D22CB4">
            <w:pPr>
              <w:pStyle w:val="Other0"/>
              <w:shd w:val="clear" w:color="auto" w:fill="auto"/>
              <w:tabs>
                <w:tab w:val="left" w:pos="432"/>
              </w:tabs>
              <w:spacing w:after="120" w:line="360" w:lineRule="auto"/>
              <w:ind w:firstLine="0"/>
              <w:jc w:val="center"/>
              <w:rPr>
                <w:rFonts w:ascii="Arial" w:hAnsi="Arial" w:cs="Arial"/>
                <w:color w:val="010000"/>
                <w:sz w:val="20"/>
                <w:szCs w:val="28"/>
              </w:rPr>
            </w:pPr>
            <w:r w:rsidRPr="00727515">
              <w:rPr>
                <w:rFonts w:ascii="Arial" w:hAnsi="Arial" w:cs="Arial"/>
                <w:color w:val="010000"/>
                <w:sz w:val="20"/>
              </w:rPr>
              <w:t>No.</w:t>
            </w:r>
          </w:p>
        </w:tc>
        <w:tc>
          <w:tcPr>
            <w:tcW w:w="2589" w:type="pct"/>
            <w:shd w:val="clear" w:color="auto" w:fill="auto"/>
            <w:vAlign w:val="center"/>
          </w:tcPr>
          <w:p w14:paraId="7038623E" w14:textId="77777777" w:rsidR="00FE4A3B" w:rsidRPr="00727515" w:rsidRDefault="00FE4A3B" w:rsidP="00D22CB4">
            <w:pPr>
              <w:pStyle w:val="Other0"/>
              <w:shd w:val="clear" w:color="auto" w:fill="auto"/>
              <w:tabs>
                <w:tab w:val="left" w:pos="432"/>
              </w:tabs>
              <w:spacing w:after="120" w:line="360" w:lineRule="auto"/>
              <w:ind w:firstLine="0"/>
              <w:jc w:val="center"/>
              <w:rPr>
                <w:rFonts w:ascii="Arial" w:hAnsi="Arial" w:cs="Arial"/>
                <w:color w:val="010000"/>
                <w:sz w:val="20"/>
              </w:rPr>
            </w:pPr>
            <w:r w:rsidRPr="00727515">
              <w:rPr>
                <w:rFonts w:ascii="Arial" w:hAnsi="Arial" w:cs="Arial"/>
                <w:color w:val="010000"/>
                <w:sz w:val="20"/>
              </w:rPr>
              <w:t>Capital use purpose</w:t>
            </w:r>
          </w:p>
        </w:tc>
        <w:tc>
          <w:tcPr>
            <w:tcW w:w="1177" w:type="pct"/>
            <w:shd w:val="clear" w:color="auto" w:fill="auto"/>
            <w:vAlign w:val="center"/>
          </w:tcPr>
          <w:p w14:paraId="3E1DD78A" w14:textId="77777777" w:rsidR="00FE4A3B" w:rsidRPr="00727515" w:rsidRDefault="00FE4A3B" w:rsidP="00D22CB4">
            <w:pPr>
              <w:pStyle w:val="Other0"/>
              <w:shd w:val="clear" w:color="auto" w:fill="auto"/>
              <w:tabs>
                <w:tab w:val="left" w:pos="432"/>
              </w:tabs>
              <w:spacing w:after="120" w:line="360" w:lineRule="auto"/>
              <w:ind w:firstLine="0"/>
              <w:jc w:val="center"/>
              <w:rPr>
                <w:rFonts w:ascii="Arial" w:hAnsi="Arial" w:cs="Arial"/>
                <w:color w:val="010000"/>
                <w:sz w:val="20"/>
              </w:rPr>
            </w:pPr>
            <w:r w:rsidRPr="00727515">
              <w:rPr>
                <w:rFonts w:ascii="Arial" w:hAnsi="Arial" w:cs="Arial"/>
                <w:color w:val="010000"/>
                <w:sz w:val="20"/>
              </w:rPr>
              <w:t>Expected amount (VND)</w:t>
            </w:r>
          </w:p>
        </w:tc>
        <w:tc>
          <w:tcPr>
            <w:tcW w:w="932" w:type="pct"/>
            <w:shd w:val="clear" w:color="auto" w:fill="auto"/>
            <w:vAlign w:val="center"/>
          </w:tcPr>
          <w:p w14:paraId="19E29C15" w14:textId="77777777" w:rsidR="00FE4A3B" w:rsidRPr="00727515" w:rsidRDefault="00FE4A3B" w:rsidP="00D22CB4">
            <w:pPr>
              <w:pStyle w:val="Other0"/>
              <w:shd w:val="clear" w:color="auto" w:fill="auto"/>
              <w:tabs>
                <w:tab w:val="left" w:pos="432"/>
              </w:tabs>
              <w:spacing w:after="120" w:line="360" w:lineRule="auto"/>
              <w:ind w:firstLine="0"/>
              <w:jc w:val="center"/>
              <w:rPr>
                <w:rFonts w:ascii="Arial" w:hAnsi="Arial" w:cs="Arial"/>
                <w:color w:val="010000"/>
                <w:sz w:val="20"/>
              </w:rPr>
            </w:pPr>
            <w:r w:rsidRPr="00727515">
              <w:rPr>
                <w:rFonts w:ascii="Arial" w:hAnsi="Arial" w:cs="Arial"/>
                <w:color w:val="010000"/>
                <w:sz w:val="20"/>
              </w:rPr>
              <w:t>Payment date</w:t>
            </w:r>
          </w:p>
        </w:tc>
      </w:tr>
      <w:tr w:rsidR="00FE4A3B" w:rsidRPr="00727515" w14:paraId="3347345A" w14:textId="77777777" w:rsidTr="00F63C60">
        <w:tc>
          <w:tcPr>
            <w:tcW w:w="302" w:type="pct"/>
            <w:shd w:val="clear" w:color="auto" w:fill="auto"/>
            <w:vAlign w:val="center"/>
          </w:tcPr>
          <w:p w14:paraId="4E914970" w14:textId="77777777" w:rsidR="00FE4A3B" w:rsidRPr="00727515" w:rsidRDefault="00FE4A3B" w:rsidP="00D22CB4">
            <w:pPr>
              <w:pStyle w:val="Other0"/>
              <w:shd w:val="clear" w:color="auto" w:fill="auto"/>
              <w:tabs>
                <w:tab w:val="left" w:pos="432"/>
              </w:tabs>
              <w:spacing w:after="120" w:line="360" w:lineRule="auto"/>
              <w:ind w:firstLine="0"/>
              <w:jc w:val="center"/>
              <w:rPr>
                <w:rFonts w:ascii="Arial" w:hAnsi="Arial" w:cs="Arial"/>
                <w:color w:val="010000"/>
                <w:sz w:val="20"/>
              </w:rPr>
            </w:pPr>
            <w:r w:rsidRPr="00727515">
              <w:rPr>
                <w:rFonts w:ascii="Arial" w:hAnsi="Arial" w:cs="Arial"/>
                <w:color w:val="010000"/>
                <w:sz w:val="20"/>
              </w:rPr>
              <w:t>1</w:t>
            </w:r>
          </w:p>
        </w:tc>
        <w:tc>
          <w:tcPr>
            <w:tcW w:w="2589" w:type="pct"/>
            <w:shd w:val="clear" w:color="auto" w:fill="auto"/>
            <w:vAlign w:val="center"/>
          </w:tcPr>
          <w:p w14:paraId="36BB1FCF"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Repayment of short-term loans at Joint Stock Commercial Bank for Investment and Development of Vietnam - Mekong Delta Branch</w:t>
            </w:r>
          </w:p>
        </w:tc>
        <w:tc>
          <w:tcPr>
            <w:tcW w:w="1177" w:type="pct"/>
            <w:shd w:val="clear" w:color="auto" w:fill="auto"/>
            <w:vAlign w:val="center"/>
          </w:tcPr>
          <w:p w14:paraId="43C02509" w14:textId="77777777" w:rsidR="00FE4A3B" w:rsidRPr="00727515" w:rsidRDefault="00FE4A3B" w:rsidP="00D22CB4">
            <w:pPr>
              <w:pStyle w:val="Other0"/>
              <w:shd w:val="clear" w:color="auto" w:fill="auto"/>
              <w:tabs>
                <w:tab w:val="left" w:pos="432"/>
              </w:tabs>
              <w:spacing w:after="120" w:line="360" w:lineRule="auto"/>
              <w:ind w:firstLine="0"/>
              <w:jc w:val="center"/>
              <w:rPr>
                <w:rFonts w:ascii="Arial" w:hAnsi="Arial" w:cs="Arial"/>
                <w:color w:val="010000"/>
                <w:sz w:val="20"/>
              </w:rPr>
            </w:pPr>
            <w:r w:rsidRPr="00727515">
              <w:rPr>
                <w:rFonts w:ascii="Arial" w:hAnsi="Arial" w:cs="Arial"/>
                <w:color w:val="010000"/>
                <w:sz w:val="20"/>
              </w:rPr>
              <w:t>15,092,320,000</w:t>
            </w:r>
          </w:p>
        </w:tc>
        <w:tc>
          <w:tcPr>
            <w:tcW w:w="932" w:type="pct"/>
            <w:shd w:val="clear" w:color="auto" w:fill="auto"/>
            <w:vAlign w:val="center"/>
          </w:tcPr>
          <w:p w14:paraId="3D59A622" w14:textId="77777777" w:rsidR="00FE4A3B" w:rsidRPr="00727515" w:rsidRDefault="00FE4A3B" w:rsidP="00D22CB4">
            <w:pPr>
              <w:pStyle w:val="Other0"/>
              <w:shd w:val="clear" w:color="auto" w:fill="auto"/>
              <w:tabs>
                <w:tab w:val="left" w:pos="432"/>
              </w:tabs>
              <w:spacing w:after="120" w:line="360" w:lineRule="auto"/>
              <w:ind w:firstLine="0"/>
              <w:jc w:val="center"/>
              <w:rPr>
                <w:rFonts w:ascii="Arial" w:hAnsi="Arial" w:cs="Arial"/>
                <w:color w:val="010000"/>
                <w:sz w:val="20"/>
              </w:rPr>
            </w:pPr>
            <w:r w:rsidRPr="00727515">
              <w:rPr>
                <w:rFonts w:ascii="Arial" w:hAnsi="Arial" w:cs="Arial"/>
                <w:color w:val="010000"/>
                <w:sz w:val="20"/>
              </w:rPr>
              <w:t>Expected in Q4/2024- Q5/2025</w:t>
            </w:r>
          </w:p>
        </w:tc>
      </w:tr>
      <w:tr w:rsidR="00FE4A3B" w:rsidRPr="00727515" w14:paraId="0CACD2E5" w14:textId="77777777" w:rsidTr="00F63C60">
        <w:tc>
          <w:tcPr>
            <w:tcW w:w="302" w:type="pct"/>
            <w:shd w:val="clear" w:color="auto" w:fill="auto"/>
            <w:vAlign w:val="center"/>
          </w:tcPr>
          <w:p w14:paraId="4DB03DE8" w14:textId="77777777" w:rsidR="00FE4A3B" w:rsidRPr="00727515" w:rsidRDefault="00FE4A3B" w:rsidP="00D22CB4">
            <w:pPr>
              <w:tabs>
                <w:tab w:val="left" w:pos="432"/>
              </w:tabs>
              <w:spacing w:after="120" w:line="360" w:lineRule="auto"/>
              <w:jc w:val="center"/>
              <w:rPr>
                <w:rFonts w:ascii="Arial" w:hAnsi="Arial" w:cs="Arial"/>
                <w:color w:val="010000"/>
                <w:sz w:val="20"/>
                <w:szCs w:val="10"/>
              </w:rPr>
            </w:pPr>
          </w:p>
        </w:tc>
        <w:tc>
          <w:tcPr>
            <w:tcW w:w="2589" w:type="pct"/>
            <w:shd w:val="clear" w:color="auto" w:fill="auto"/>
            <w:vAlign w:val="center"/>
          </w:tcPr>
          <w:p w14:paraId="7D43C59E" w14:textId="77777777" w:rsidR="00FE4A3B" w:rsidRPr="00727515" w:rsidRDefault="00FE4A3B" w:rsidP="00F63C60">
            <w:pPr>
              <w:pStyle w:val="Other0"/>
              <w:shd w:val="clear" w:color="auto" w:fill="auto"/>
              <w:tabs>
                <w:tab w:val="left" w:pos="432"/>
              </w:tabs>
              <w:spacing w:after="120" w:line="360" w:lineRule="auto"/>
              <w:ind w:firstLine="0"/>
              <w:rPr>
                <w:rFonts w:ascii="Arial" w:hAnsi="Arial" w:cs="Arial"/>
                <w:color w:val="010000"/>
                <w:sz w:val="20"/>
              </w:rPr>
            </w:pPr>
            <w:r w:rsidRPr="00727515">
              <w:rPr>
                <w:rFonts w:ascii="Arial" w:hAnsi="Arial" w:cs="Arial"/>
                <w:color w:val="010000"/>
                <w:sz w:val="20"/>
              </w:rPr>
              <w:t>Total</w:t>
            </w:r>
          </w:p>
        </w:tc>
        <w:tc>
          <w:tcPr>
            <w:tcW w:w="1177" w:type="pct"/>
            <w:shd w:val="clear" w:color="auto" w:fill="auto"/>
            <w:vAlign w:val="center"/>
          </w:tcPr>
          <w:p w14:paraId="2C014486" w14:textId="77777777" w:rsidR="00FE4A3B" w:rsidRPr="00727515" w:rsidRDefault="00FE4A3B" w:rsidP="00D22CB4">
            <w:pPr>
              <w:pStyle w:val="Other0"/>
              <w:shd w:val="clear" w:color="auto" w:fill="auto"/>
              <w:tabs>
                <w:tab w:val="left" w:pos="432"/>
              </w:tabs>
              <w:spacing w:after="120" w:line="360" w:lineRule="auto"/>
              <w:ind w:firstLine="0"/>
              <w:jc w:val="center"/>
              <w:rPr>
                <w:rFonts w:ascii="Arial" w:hAnsi="Arial" w:cs="Arial"/>
                <w:color w:val="010000"/>
                <w:sz w:val="20"/>
              </w:rPr>
            </w:pPr>
            <w:r w:rsidRPr="00727515">
              <w:rPr>
                <w:rFonts w:ascii="Arial" w:hAnsi="Arial" w:cs="Arial"/>
                <w:color w:val="010000"/>
                <w:sz w:val="20"/>
              </w:rPr>
              <w:t>15,092,320,000</w:t>
            </w:r>
          </w:p>
        </w:tc>
        <w:tc>
          <w:tcPr>
            <w:tcW w:w="932" w:type="pct"/>
            <w:shd w:val="clear" w:color="auto" w:fill="auto"/>
            <w:vAlign w:val="center"/>
          </w:tcPr>
          <w:p w14:paraId="47AE818D" w14:textId="77777777" w:rsidR="00FE4A3B" w:rsidRPr="00727515" w:rsidRDefault="00FE4A3B" w:rsidP="00D22CB4">
            <w:pPr>
              <w:tabs>
                <w:tab w:val="left" w:pos="432"/>
              </w:tabs>
              <w:spacing w:after="120" w:line="360" w:lineRule="auto"/>
              <w:jc w:val="center"/>
              <w:rPr>
                <w:rFonts w:ascii="Arial" w:hAnsi="Arial" w:cs="Arial"/>
                <w:color w:val="010000"/>
                <w:sz w:val="20"/>
                <w:szCs w:val="10"/>
              </w:rPr>
            </w:pPr>
          </w:p>
        </w:tc>
      </w:tr>
    </w:tbl>
    <w:p w14:paraId="5D235868" w14:textId="712238A9" w:rsidR="00FE4A3B" w:rsidRPr="00727515" w:rsidRDefault="00FE4A3B" w:rsidP="00D22CB4">
      <w:pPr>
        <w:pStyle w:val="BodyText"/>
        <w:shd w:val="clear" w:color="auto" w:fill="auto"/>
        <w:tabs>
          <w:tab w:val="left" w:pos="432"/>
        </w:tabs>
        <w:spacing w:after="120" w:line="360" w:lineRule="auto"/>
        <w:ind w:firstLine="0"/>
        <w:jc w:val="both"/>
        <w:rPr>
          <w:rFonts w:ascii="Arial" w:hAnsi="Arial" w:cs="Arial"/>
          <w:color w:val="010000"/>
          <w:sz w:val="20"/>
        </w:rPr>
      </w:pPr>
      <w:r w:rsidRPr="00727515">
        <w:rPr>
          <w:rFonts w:ascii="Arial" w:hAnsi="Arial" w:cs="Arial"/>
          <w:color w:val="010000"/>
          <w:sz w:val="20"/>
        </w:rPr>
        <w:t>Article 3: Approve</w:t>
      </w:r>
      <w:r w:rsidR="00F63C60" w:rsidRPr="00727515">
        <w:rPr>
          <w:rFonts w:ascii="Arial" w:hAnsi="Arial" w:cs="Arial"/>
          <w:color w:val="010000"/>
          <w:sz w:val="20"/>
        </w:rPr>
        <w:t xml:space="preserve"> </w:t>
      </w:r>
      <w:r w:rsidRPr="00727515">
        <w:rPr>
          <w:rFonts w:ascii="Arial" w:hAnsi="Arial" w:cs="Arial"/>
          <w:color w:val="010000"/>
          <w:sz w:val="20"/>
        </w:rPr>
        <w:t xml:space="preserve">the registration of additional securities at the Vietnam Securities Depository and Clearing Corporation and the registration of additional </w:t>
      </w:r>
      <w:r w:rsidR="0048413F" w:rsidRPr="00727515">
        <w:rPr>
          <w:rFonts w:ascii="Arial" w:hAnsi="Arial" w:cs="Arial"/>
          <w:color w:val="010000"/>
          <w:sz w:val="20"/>
        </w:rPr>
        <w:t>share</w:t>
      </w:r>
      <w:r w:rsidR="0048413F" w:rsidRPr="00727515">
        <w:rPr>
          <w:rFonts w:ascii="Arial" w:hAnsi="Arial" w:cs="Arial"/>
          <w:color w:val="010000"/>
          <w:sz w:val="20"/>
          <w:lang w:val="vi-VN"/>
        </w:rPr>
        <w:t xml:space="preserve"> </w:t>
      </w:r>
      <w:r w:rsidRPr="00727515">
        <w:rPr>
          <w:rFonts w:ascii="Arial" w:hAnsi="Arial" w:cs="Arial"/>
          <w:color w:val="010000"/>
          <w:sz w:val="20"/>
        </w:rPr>
        <w:t xml:space="preserve">transactions at </w:t>
      </w:r>
      <w:r w:rsidR="00D22CB4">
        <w:rPr>
          <w:rFonts w:ascii="Arial" w:hAnsi="Arial" w:cs="Arial"/>
          <w:color w:val="010000"/>
          <w:sz w:val="20"/>
        </w:rPr>
        <w:t xml:space="preserve">the </w:t>
      </w:r>
      <w:r w:rsidRPr="00727515">
        <w:rPr>
          <w:rFonts w:ascii="Arial" w:hAnsi="Arial" w:cs="Arial"/>
          <w:color w:val="010000"/>
          <w:sz w:val="20"/>
        </w:rPr>
        <w:t>Hanoi Stock Exchange</w:t>
      </w:r>
    </w:p>
    <w:p w14:paraId="300376FB" w14:textId="7E1893B8" w:rsidR="00FE4A3B" w:rsidRPr="00727515" w:rsidRDefault="00FE4A3B" w:rsidP="00D22CB4">
      <w:pPr>
        <w:pStyle w:val="BodyText"/>
        <w:shd w:val="clear" w:color="auto" w:fill="auto"/>
        <w:tabs>
          <w:tab w:val="left" w:pos="432"/>
        </w:tabs>
        <w:spacing w:after="120" w:line="360" w:lineRule="auto"/>
        <w:ind w:firstLine="0"/>
        <w:jc w:val="both"/>
        <w:rPr>
          <w:rFonts w:ascii="Arial" w:hAnsi="Arial" w:cs="Arial"/>
          <w:color w:val="010000"/>
          <w:sz w:val="20"/>
        </w:rPr>
      </w:pPr>
      <w:r w:rsidRPr="00727515">
        <w:rPr>
          <w:rFonts w:ascii="Arial" w:hAnsi="Arial" w:cs="Arial"/>
          <w:color w:val="010000"/>
          <w:sz w:val="20"/>
        </w:rPr>
        <w:t xml:space="preserve">The entire </w:t>
      </w:r>
      <w:r w:rsidR="0048413F" w:rsidRPr="00727515">
        <w:rPr>
          <w:rFonts w:ascii="Arial" w:hAnsi="Arial" w:cs="Arial"/>
          <w:color w:val="010000"/>
          <w:sz w:val="20"/>
        </w:rPr>
        <w:t>number</w:t>
      </w:r>
      <w:r w:rsidR="0048413F" w:rsidRPr="00727515">
        <w:rPr>
          <w:rFonts w:ascii="Arial" w:hAnsi="Arial" w:cs="Arial"/>
          <w:color w:val="010000"/>
          <w:sz w:val="20"/>
          <w:lang w:val="vi-VN"/>
        </w:rPr>
        <w:t xml:space="preserve"> </w:t>
      </w:r>
      <w:r w:rsidRPr="00727515">
        <w:rPr>
          <w:rFonts w:ascii="Arial" w:hAnsi="Arial" w:cs="Arial"/>
          <w:color w:val="010000"/>
          <w:sz w:val="20"/>
        </w:rPr>
        <w:t xml:space="preserve">of successfully issued shares will be registered for </w:t>
      </w:r>
      <w:r w:rsidR="0048413F" w:rsidRPr="00727515">
        <w:rPr>
          <w:rFonts w:ascii="Arial" w:hAnsi="Arial" w:cs="Arial"/>
          <w:color w:val="010000"/>
          <w:sz w:val="20"/>
        </w:rPr>
        <w:t xml:space="preserve">additional </w:t>
      </w:r>
      <w:r w:rsidRPr="00727515">
        <w:rPr>
          <w:rFonts w:ascii="Arial" w:hAnsi="Arial" w:cs="Arial"/>
          <w:color w:val="010000"/>
          <w:sz w:val="20"/>
        </w:rPr>
        <w:t xml:space="preserve">trading at the Vietnam Securities Depository and Clearing Corporation and </w:t>
      </w:r>
      <w:r w:rsidR="0048413F" w:rsidRPr="00727515">
        <w:rPr>
          <w:rFonts w:ascii="Arial" w:hAnsi="Arial" w:cs="Arial"/>
          <w:color w:val="010000"/>
          <w:sz w:val="20"/>
        </w:rPr>
        <w:t xml:space="preserve">additional </w:t>
      </w:r>
      <w:r w:rsidRPr="00727515">
        <w:rPr>
          <w:rFonts w:ascii="Arial" w:hAnsi="Arial" w:cs="Arial"/>
          <w:color w:val="010000"/>
          <w:sz w:val="20"/>
        </w:rPr>
        <w:t>trading registration at the Hanoi Stock Exchange after the completion of the issua</w:t>
      </w:r>
      <w:r w:rsidR="00937EAA">
        <w:rPr>
          <w:rFonts w:ascii="Arial" w:hAnsi="Arial" w:cs="Arial"/>
          <w:color w:val="010000"/>
          <w:sz w:val="20"/>
        </w:rPr>
        <w:t>nce within the prescribed time.</w:t>
      </w:r>
    </w:p>
    <w:p w14:paraId="0FF855ED" w14:textId="77777777" w:rsidR="00FE4A3B" w:rsidRPr="00727515" w:rsidRDefault="00FE4A3B" w:rsidP="00D22CB4">
      <w:pPr>
        <w:pStyle w:val="Heading20"/>
        <w:keepNext/>
        <w:shd w:val="clear" w:color="auto" w:fill="auto"/>
        <w:tabs>
          <w:tab w:val="left" w:pos="432"/>
        </w:tabs>
        <w:spacing w:after="120" w:line="360" w:lineRule="auto"/>
        <w:jc w:val="both"/>
        <w:outlineLvl w:val="9"/>
        <w:rPr>
          <w:rFonts w:ascii="Arial" w:hAnsi="Arial" w:cs="Arial"/>
          <w:b w:val="0"/>
          <w:color w:val="010000"/>
          <w:sz w:val="20"/>
        </w:rPr>
      </w:pPr>
      <w:r w:rsidRPr="00727515">
        <w:rPr>
          <w:rFonts w:ascii="Arial" w:hAnsi="Arial" w:cs="Arial"/>
          <w:b w:val="0"/>
          <w:color w:val="010000"/>
          <w:sz w:val="20"/>
        </w:rPr>
        <w:t>Article 4: Approve the plan to ensure the foreign ownership rate</w:t>
      </w:r>
    </w:p>
    <w:p w14:paraId="4505174D" w14:textId="20EF2337" w:rsidR="00FE4A3B" w:rsidRPr="00727515" w:rsidRDefault="00FE4A3B" w:rsidP="00D22CB4">
      <w:pPr>
        <w:pStyle w:val="BodyText"/>
        <w:shd w:val="clear" w:color="auto" w:fill="auto"/>
        <w:tabs>
          <w:tab w:val="left" w:pos="432"/>
        </w:tabs>
        <w:spacing w:after="120" w:line="360" w:lineRule="auto"/>
        <w:ind w:firstLine="0"/>
        <w:jc w:val="both"/>
        <w:rPr>
          <w:rFonts w:ascii="Arial" w:hAnsi="Arial" w:cs="Arial"/>
          <w:color w:val="010000"/>
          <w:sz w:val="20"/>
        </w:rPr>
      </w:pPr>
      <w:r w:rsidRPr="00727515">
        <w:rPr>
          <w:rFonts w:ascii="Arial" w:hAnsi="Arial" w:cs="Arial"/>
          <w:color w:val="010000"/>
          <w:sz w:val="20"/>
        </w:rPr>
        <w:t xml:space="preserve">According to Official Dispatch </w:t>
      </w:r>
      <w:r w:rsidR="00F63C60" w:rsidRPr="00727515">
        <w:rPr>
          <w:rFonts w:ascii="Arial" w:hAnsi="Arial" w:cs="Arial"/>
          <w:color w:val="010000"/>
          <w:sz w:val="20"/>
        </w:rPr>
        <w:t xml:space="preserve">No. </w:t>
      </w:r>
      <w:r w:rsidRPr="00727515">
        <w:rPr>
          <w:rFonts w:ascii="Arial" w:hAnsi="Arial" w:cs="Arial"/>
          <w:color w:val="010000"/>
          <w:sz w:val="20"/>
        </w:rPr>
        <w:t>3613/UBCK-PTTT dated June 7, 2024</w:t>
      </w:r>
      <w:r w:rsidR="00497D54">
        <w:rPr>
          <w:rFonts w:ascii="Arial" w:hAnsi="Arial" w:cs="Arial"/>
          <w:color w:val="010000"/>
          <w:sz w:val="20"/>
        </w:rPr>
        <w:t>,</w:t>
      </w:r>
      <w:r w:rsidRPr="00727515">
        <w:rPr>
          <w:rFonts w:ascii="Arial" w:hAnsi="Arial" w:cs="Arial"/>
          <w:color w:val="010000"/>
          <w:sz w:val="20"/>
        </w:rPr>
        <w:t xml:space="preserve"> of the State Securities Commission on the dossier announcing the maximum foreign ownership rate of Can Tho Import Export Seafood Joint Stock Company, the maximum</w:t>
      </w:r>
      <w:r w:rsidR="00F63C60" w:rsidRPr="00727515">
        <w:rPr>
          <w:rFonts w:ascii="Arial" w:hAnsi="Arial" w:cs="Arial"/>
          <w:color w:val="010000"/>
          <w:sz w:val="20"/>
        </w:rPr>
        <w:t xml:space="preserve"> </w:t>
      </w:r>
      <w:r w:rsidRPr="00727515">
        <w:rPr>
          <w:rFonts w:ascii="Arial" w:hAnsi="Arial" w:cs="Arial"/>
          <w:color w:val="010000"/>
          <w:sz w:val="20"/>
        </w:rPr>
        <w:t xml:space="preserve">ownership rate of </w:t>
      </w:r>
      <w:r w:rsidR="00497D54">
        <w:rPr>
          <w:rFonts w:ascii="Arial" w:hAnsi="Arial" w:cs="Arial"/>
          <w:color w:val="010000"/>
          <w:sz w:val="20"/>
        </w:rPr>
        <w:t xml:space="preserve">the </w:t>
      </w:r>
      <w:r w:rsidRPr="00727515">
        <w:rPr>
          <w:rFonts w:ascii="Arial" w:hAnsi="Arial" w:cs="Arial"/>
          <w:color w:val="010000"/>
          <w:sz w:val="20"/>
        </w:rPr>
        <w:t>foreign investor at Can Tho Import Export Seafood Joint Stock Company was determined to be 0% of charter capital.</w:t>
      </w:r>
    </w:p>
    <w:p w14:paraId="6F5BB345" w14:textId="77777777" w:rsidR="00FE4A3B" w:rsidRPr="00727515" w:rsidRDefault="00FE4A3B" w:rsidP="00D22CB4">
      <w:pPr>
        <w:pStyle w:val="BodyText"/>
        <w:shd w:val="clear" w:color="auto" w:fill="auto"/>
        <w:tabs>
          <w:tab w:val="left" w:pos="432"/>
        </w:tabs>
        <w:spacing w:after="120" w:line="360" w:lineRule="auto"/>
        <w:ind w:firstLine="0"/>
        <w:jc w:val="both"/>
        <w:rPr>
          <w:rFonts w:ascii="Arial" w:hAnsi="Arial" w:cs="Arial"/>
          <w:color w:val="010000"/>
          <w:sz w:val="20"/>
        </w:rPr>
      </w:pPr>
      <w:r w:rsidRPr="00727515">
        <w:rPr>
          <w:rFonts w:ascii="Arial" w:hAnsi="Arial" w:cs="Arial"/>
          <w:color w:val="010000"/>
          <w:sz w:val="20"/>
        </w:rPr>
        <w:lastRenderedPageBreak/>
        <w:t>As of April 22, 2024 (the latest record date for the list of shareholders), the foreign ownership rate at the Company was 0.39%. In this share issuance and offering, shares will be issued/offered to investors who are existing shareholders according to the rights exercise rate, thus there will be no change in the foreign ownership ratio at the Company.</w:t>
      </w:r>
    </w:p>
    <w:p w14:paraId="2BF95727" w14:textId="1771D021" w:rsidR="00FE4A3B" w:rsidRPr="00727515" w:rsidRDefault="00FE4A3B" w:rsidP="00D22CB4">
      <w:pPr>
        <w:pStyle w:val="BodyText"/>
        <w:shd w:val="clear" w:color="auto" w:fill="auto"/>
        <w:tabs>
          <w:tab w:val="left" w:pos="432"/>
        </w:tabs>
        <w:spacing w:after="120" w:line="360" w:lineRule="auto"/>
        <w:ind w:firstLine="0"/>
        <w:jc w:val="both"/>
        <w:rPr>
          <w:rFonts w:ascii="Arial" w:hAnsi="Arial" w:cs="Arial"/>
          <w:color w:val="010000"/>
          <w:sz w:val="20"/>
          <w:lang w:val="vi-VN"/>
        </w:rPr>
      </w:pPr>
      <w:r w:rsidRPr="00727515">
        <w:rPr>
          <w:rFonts w:ascii="Arial" w:hAnsi="Arial" w:cs="Arial"/>
          <w:color w:val="010000"/>
          <w:sz w:val="20"/>
        </w:rPr>
        <w:t xml:space="preserve">In the case of transferring the </w:t>
      </w:r>
      <w:r w:rsidR="003A2BCD">
        <w:rPr>
          <w:rFonts w:ascii="Arial" w:hAnsi="Arial" w:cs="Arial"/>
          <w:color w:val="010000"/>
          <w:sz w:val="20"/>
        </w:rPr>
        <w:t xml:space="preserve">rights </w:t>
      </w:r>
      <w:r w:rsidRPr="00727515">
        <w:rPr>
          <w:rFonts w:ascii="Arial" w:hAnsi="Arial" w:cs="Arial"/>
          <w:color w:val="010000"/>
          <w:sz w:val="20"/>
        </w:rPr>
        <w:t xml:space="preserve">to buy shares of existing shareholders, based on the ownership </w:t>
      </w:r>
      <w:r w:rsidR="0048413F" w:rsidRPr="00727515">
        <w:rPr>
          <w:rFonts w:ascii="Arial" w:hAnsi="Arial" w:cs="Arial"/>
          <w:color w:val="010000"/>
          <w:sz w:val="20"/>
        </w:rPr>
        <w:t>rate</w:t>
      </w:r>
      <w:r w:rsidR="0048413F" w:rsidRPr="00727515">
        <w:rPr>
          <w:rFonts w:ascii="Arial" w:hAnsi="Arial" w:cs="Arial"/>
          <w:color w:val="010000"/>
          <w:sz w:val="20"/>
          <w:lang w:val="vi-VN"/>
        </w:rPr>
        <w:t xml:space="preserve"> </w:t>
      </w:r>
      <w:r w:rsidRPr="00727515">
        <w:rPr>
          <w:rFonts w:ascii="Arial" w:hAnsi="Arial" w:cs="Arial"/>
          <w:color w:val="010000"/>
          <w:sz w:val="20"/>
        </w:rPr>
        <w:t xml:space="preserve">of foreign investors in the Company according to the List of securities owners on the record date to exercise the </w:t>
      </w:r>
      <w:r w:rsidR="003A2BCD">
        <w:rPr>
          <w:rFonts w:ascii="Arial" w:hAnsi="Arial" w:cs="Arial"/>
          <w:color w:val="010000"/>
          <w:sz w:val="20"/>
        </w:rPr>
        <w:t xml:space="preserve">rights </w:t>
      </w:r>
      <w:r w:rsidRPr="00727515">
        <w:rPr>
          <w:rFonts w:ascii="Arial" w:hAnsi="Arial" w:cs="Arial"/>
          <w:color w:val="010000"/>
          <w:sz w:val="20"/>
        </w:rPr>
        <w:t xml:space="preserve">to buy </w:t>
      </w:r>
      <w:r w:rsidR="00497D54">
        <w:rPr>
          <w:rFonts w:ascii="Arial" w:hAnsi="Arial" w:cs="Arial"/>
          <w:color w:val="010000"/>
          <w:sz w:val="20"/>
        </w:rPr>
        <w:t>shares</w:t>
      </w:r>
      <w:bookmarkStart w:id="0" w:name="_GoBack"/>
      <w:bookmarkEnd w:id="0"/>
      <w:r w:rsidRPr="00727515">
        <w:rPr>
          <w:rFonts w:ascii="Arial" w:hAnsi="Arial" w:cs="Arial"/>
          <w:color w:val="010000"/>
          <w:sz w:val="20"/>
        </w:rPr>
        <w:t xml:space="preserve"> of the offering, the Company will coordinate with Vietnam Securities Depository and Clearing Corporation to control the transfer of purchasing rights of existing shareholders to foreign investors to ensure that the foreign ownership rate in the Company does not increase after the offering, specifically, foreign shareholders and other foreign investors will not be entitled to transfer the </w:t>
      </w:r>
      <w:r w:rsidR="003A2BCD">
        <w:rPr>
          <w:rFonts w:ascii="Arial" w:hAnsi="Arial" w:cs="Arial"/>
          <w:color w:val="010000"/>
          <w:sz w:val="20"/>
        </w:rPr>
        <w:t xml:space="preserve">rights </w:t>
      </w:r>
      <w:r w:rsidRPr="00727515">
        <w:rPr>
          <w:rFonts w:ascii="Arial" w:hAnsi="Arial" w:cs="Arial"/>
          <w:color w:val="010000"/>
          <w:sz w:val="20"/>
        </w:rPr>
        <w:t xml:space="preserve">to buy shares of the </w:t>
      </w:r>
      <w:r w:rsidR="0048413F" w:rsidRPr="00727515">
        <w:rPr>
          <w:rFonts w:ascii="Arial" w:hAnsi="Arial" w:cs="Arial"/>
          <w:color w:val="010000"/>
          <w:sz w:val="20"/>
        </w:rPr>
        <w:t>Company</w:t>
      </w:r>
      <w:r w:rsidR="0048413F" w:rsidRPr="00727515">
        <w:rPr>
          <w:rFonts w:ascii="Arial" w:hAnsi="Arial" w:cs="Arial"/>
          <w:color w:val="010000"/>
          <w:sz w:val="20"/>
          <w:lang w:val="vi-VN"/>
        </w:rPr>
        <w:t>.</w:t>
      </w:r>
    </w:p>
    <w:p w14:paraId="17913B07" w14:textId="77777777" w:rsidR="00FE4A3B" w:rsidRPr="00727515" w:rsidRDefault="00FE4A3B" w:rsidP="00D22CB4">
      <w:pPr>
        <w:pStyle w:val="BodyText"/>
        <w:shd w:val="clear" w:color="auto" w:fill="auto"/>
        <w:tabs>
          <w:tab w:val="left" w:pos="432"/>
        </w:tabs>
        <w:spacing w:after="120" w:line="360" w:lineRule="auto"/>
        <w:ind w:firstLine="0"/>
        <w:jc w:val="both"/>
        <w:rPr>
          <w:rFonts w:ascii="Arial" w:hAnsi="Arial" w:cs="Arial"/>
          <w:color w:val="010000"/>
          <w:sz w:val="20"/>
        </w:rPr>
      </w:pPr>
      <w:r w:rsidRPr="00727515">
        <w:rPr>
          <w:rFonts w:ascii="Arial" w:hAnsi="Arial" w:cs="Arial"/>
          <w:color w:val="010000"/>
          <w:sz w:val="20"/>
        </w:rPr>
        <w:t>In the case of dealing with fractional shares arising due to rounding (if any) and the shares are not fully offered for sale, the Board of Directors will decide to sell these shares to other subjects such as domestic shareholders and investors.</w:t>
      </w:r>
    </w:p>
    <w:p w14:paraId="39923670" w14:textId="48175951" w:rsidR="00FE4A3B" w:rsidRPr="00727515" w:rsidRDefault="00FE4A3B" w:rsidP="00D22CB4">
      <w:pPr>
        <w:pStyle w:val="BodyText"/>
        <w:shd w:val="clear" w:color="auto" w:fill="auto"/>
        <w:tabs>
          <w:tab w:val="left" w:pos="432"/>
        </w:tabs>
        <w:spacing w:after="120" w:line="360" w:lineRule="auto"/>
        <w:ind w:firstLine="0"/>
        <w:jc w:val="both"/>
        <w:rPr>
          <w:rFonts w:ascii="Arial" w:hAnsi="Arial" w:cs="Arial"/>
          <w:color w:val="010000"/>
          <w:sz w:val="20"/>
        </w:rPr>
      </w:pPr>
      <w:r w:rsidRPr="00727515">
        <w:rPr>
          <w:rFonts w:ascii="Arial" w:hAnsi="Arial" w:cs="Arial"/>
          <w:color w:val="010000"/>
          <w:sz w:val="20"/>
        </w:rPr>
        <w:t xml:space="preserve">The Company's Board of Directors </w:t>
      </w:r>
      <w:r w:rsidR="0048413F" w:rsidRPr="00727515">
        <w:rPr>
          <w:rFonts w:ascii="Arial" w:hAnsi="Arial" w:cs="Arial"/>
          <w:color w:val="010000"/>
          <w:sz w:val="20"/>
        </w:rPr>
        <w:t>is committed</w:t>
      </w:r>
      <w:r w:rsidRPr="00727515">
        <w:rPr>
          <w:rFonts w:ascii="Arial" w:hAnsi="Arial" w:cs="Arial"/>
          <w:color w:val="010000"/>
          <w:sz w:val="20"/>
        </w:rPr>
        <w:t xml:space="preserve"> to implementing the above assurance plans and other necessary plans to ensure that the issuance of shares meets regulations on foreign ownership at the Company and relevant legal regulations.</w:t>
      </w:r>
    </w:p>
    <w:p w14:paraId="393F37B0" w14:textId="77777777" w:rsidR="00FE4A3B" w:rsidRPr="00727515" w:rsidRDefault="00FE4A3B" w:rsidP="00D22CB4">
      <w:pPr>
        <w:pStyle w:val="Heading20"/>
        <w:keepNext/>
        <w:shd w:val="clear" w:color="auto" w:fill="auto"/>
        <w:tabs>
          <w:tab w:val="left" w:pos="432"/>
        </w:tabs>
        <w:spacing w:after="120" w:line="360" w:lineRule="auto"/>
        <w:jc w:val="both"/>
        <w:outlineLvl w:val="9"/>
        <w:rPr>
          <w:rFonts w:ascii="Arial" w:hAnsi="Arial" w:cs="Arial"/>
          <w:b w:val="0"/>
          <w:color w:val="010000"/>
          <w:sz w:val="20"/>
        </w:rPr>
      </w:pPr>
      <w:r w:rsidRPr="00727515">
        <w:rPr>
          <w:rFonts w:ascii="Arial" w:hAnsi="Arial" w:cs="Arial"/>
          <w:b w:val="0"/>
          <w:color w:val="010000"/>
          <w:sz w:val="20"/>
        </w:rPr>
        <w:t>Article 5: Content of authorization:</w:t>
      </w:r>
    </w:p>
    <w:p w14:paraId="49481BFA" w14:textId="77777777" w:rsidR="00FE4A3B" w:rsidRPr="00727515" w:rsidRDefault="00FE4A3B" w:rsidP="00D22CB4">
      <w:pPr>
        <w:pStyle w:val="BodyText"/>
        <w:shd w:val="clear" w:color="auto" w:fill="auto"/>
        <w:tabs>
          <w:tab w:val="left" w:pos="432"/>
        </w:tabs>
        <w:spacing w:after="120" w:line="360" w:lineRule="auto"/>
        <w:ind w:firstLine="0"/>
        <w:jc w:val="both"/>
        <w:rPr>
          <w:rFonts w:ascii="Arial" w:hAnsi="Arial" w:cs="Arial"/>
          <w:color w:val="010000"/>
          <w:sz w:val="20"/>
        </w:rPr>
      </w:pPr>
      <w:r w:rsidRPr="00727515">
        <w:rPr>
          <w:rFonts w:ascii="Arial" w:hAnsi="Arial" w:cs="Arial"/>
          <w:color w:val="010000"/>
          <w:sz w:val="20"/>
        </w:rPr>
        <w:t>The Board of Directors authorized the Chair of the Board of Directors to decide on tasks and sign related documents, including but not limited to the following tasks:</w:t>
      </w:r>
    </w:p>
    <w:p w14:paraId="6E6612C5" w14:textId="4A676041" w:rsidR="00FE4A3B" w:rsidRPr="00727515" w:rsidRDefault="00FE4A3B" w:rsidP="00D22CB4">
      <w:pPr>
        <w:pStyle w:val="BodyText"/>
        <w:numPr>
          <w:ilvl w:val="0"/>
          <w:numId w:val="8"/>
        </w:numPr>
        <w:shd w:val="clear" w:color="auto" w:fill="auto"/>
        <w:tabs>
          <w:tab w:val="left" w:pos="432"/>
        </w:tabs>
        <w:spacing w:after="120" w:line="360" w:lineRule="auto"/>
        <w:ind w:left="0" w:firstLine="0"/>
        <w:jc w:val="both"/>
        <w:rPr>
          <w:rFonts w:ascii="Arial" w:hAnsi="Arial" w:cs="Arial"/>
          <w:color w:val="010000"/>
          <w:sz w:val="20"/>
        </w:rPr>
      </w:pPr>
      <w:r w:rsidRPr="00727515">
        <w:rPr>
          <w:rFonts w:ascii="Arial" w:hAnsi="Arial" w:cs="Arial"/>
          <w:color w:val="010000"/>
          <w:sz w:val="20"/>
        </w:rPr>
        <w:t xml:space="preserve">Decide the implementation time of the </w:t>
      </w:r>
      <w:r w:rsidR="0048413F" w:rsidRPr="00727515">
        <w:rPr>
          <w:rFonts w:ascii="Arial" w:hAnsi="Arial" w:cs="Arial"/>
          <w:color w:val="010000"/>
          <w:sz w:val="20"/>
        </w:rPr>
        <w:t xml:space="preserve">share </w:t>
      </w:r>
      <w:r w:rsidRPr="00727515">
        <w:rPr>
          <w:rFonts w:ascii="Arial" w:hAnsi="Arial" w:cs="Arial"/>
          <w:color w:val="010000"/>
          <w:sz w:val="20"/>
        </w:rPr>
        <w:t xml:space="preserve">offering, </w:t>
      </w:r>
      <w:r w:rsidR="0048413F" w:rsidRPr="00727515">
        <w:rPr>
          <w:rFonts w:ascii="Arial" w:hAnsi="Arial" w:cs="Arial"/>
          <w:color w:val="010000"/>
          <w:sz w:val="20"/>
        </w:rPr>
        <w:t>and</w:t>
      </w:r>
      <w:r w:rsidR="0048413F" w:rsidRPr="00727515">
        <w:rPr>
          <w:rFonts w:ascii="Arial" w:hAnsi="Arial" w:cs="Arial"/>
          <w:color w:val="010000"/>
          <w:sz w:val="20"/>
          <w:lang w:val="vi-VN"/>
        </w:rPr>
        <w:t xml:space="preserve"> </w:t>
      </w:r>
      <w:r w:rsidRPr="00727515">
        <w:rPr>
          <w:rFonts w:ascii="Arial" w:hAnsi="Arial" w:cs="Arial"/>
          <w:color w:val="010000"/>
          <w:sz w:val="20"/>
        </w:rPr>
        <w:t>issuance;</w:t>
      </w:r>
    </w:p>
    <w:p w14:paraId="5CEAFE4F" w14:textId="17CD2408" w:rsidR="00FE4A3B" w:rsidRPr="00727515" w:rsidRDefault="00FE4A3B" w:rsidP="00D22CB4">
      <w:pPr>
        <w:pStyle w:val="BodyText"/>
        <w:numPr>
          <w:ilvl w:val="0"/>
          <w:numId w:val="8"/>
        </w:numPr>
        <w:shd w:val="clear" w:color="auto" w:fill="auto"/>
        <w:tabs>
          <w:tab w:val="left" w:pos="432"/>
        </w:tabs>
        <w:spacing w:after="120" w:line="360" w:lineRule="auto"/>
        <w:ind w:left="0" w:firstLine="0"/>
        <w:jc w:val="both"/>
        <w:rPr>
          <w:rFonts w:ascii="Arial" w:hAnsi="Arial" w:cs="Arial"/>
          <w:color w:val="010000"/>
          <w:sz w:val="20"/>
        </w:rPr>
      </w:pPr>
      <w:r w:rsidRPr="00727515">
        <w:rPr>
          <w:rFonts w:ascii="Arial" w:hAnsi="Arial" w:cs="Arial"/>
          <w:color w:val="010000"/>
          <w:sz w:val="20"/>
        </w:rPr>
        <w:t xml:space="preserve">Decide on the record date </w:t>
      </w:r>
      <w:r w:rsidR="0048413F" w:rsidRPr="00727515">
        <w:rPr>
          <w:rFonts w:ascii="Arial" w:hAnsi="Arial" w:cs="Arial"/>
          <w:color w:val="010000"/>
          <w:sz w:val="20"/>
        </w:rPr>
        <w:t>for</w:t>
      </w:r>
      <w:r w:rsidR="0048413F" w:rsidRPr="00727515">
        <w:rPr>
          <w:rFonts w:ascii="Arial" w:hAnsi="Arial" w:cs="Arial"/>
          <w:color w:val="010000"/>
          <w:sz w:val="20"/>
          <w:lang w:val="vi-VN"/>
        </w:rPr>
        <w:t xml:space="preserve"> </w:t>
      </w:r>
      <w:r w:rsidRPr="00727515">
        <w:rPr>
          <w:rFonts w:ascii="Arial" w:hAnsi="Arial" w:cs="Arial"/>
          <w:color w:val="010000"/>
          <w:sz w:val="20"/>
        </w:rPr>
        <w:t>the list of shareholders and carry out procedures to record the list of shareholders to issue shares to increase share capital from the source of owners' equity and the public offering of additional shares to existing shareholders;</w:t>
      </w:r>
    </w:p>
    <w:p w14:paraId="3E2B0885" w14:textId="77777777" w:rsidR="00FE4A3B" w:rsidRPr="00727515" w:rsidRDefault="00FE4A3B" w:rsidP="00D22CB4">
      <w:pPr>
        <w:pStyle w:val="BodyText"/>
        <w:numPr>
          <w:ilvl w:val="0"/>
          <w:numId w:val="8"/>
        </w:numPr>
        <w:shd w:val="clear" w:color="auto" w:fill="auto"/>
        <w:tabs>
          <w:tab w:val="left" w:pos="432"/>
        </w:tabs>
        <w:spacing w:after="120" w:line="360" w:lineRule="auto"/>
        <w:ind w:left="0" w:firstLine="0"/>
        <w:jc w:val="both"/>
        <w:rPr>
          <w:rFonts w:ascii="Arial" w:hAnsi="Arial" w:cs="Arial"/>
          <w:color w:val="010000"/>
          <w:sz w:val="20"/>
        </w:rPr>
      </w:pPr>
      <w:r w:rsidRPr="00727515">
        <w:rPr>
          <w:rFonts w:ascii="Arial" w:hAnsi="Arial" w:cs="Arial"/>
          <w:color w:val="010000"/>
          <w:sz w:val="20"/>
        </w:rPr>
        <w:t>Carry out procedures for distributing shares offered and issued according to approved plans;</w:t>
      </w:r>
    </w:p>
    <w:p w14:paraId="13F2BEC5" w14:textId="7EC91515" w:rsidR="00FE4A3B" w:rsidRPr="00727515" w:rsidRDefault="00FE4A3B" w:rsidP="00D22CB4">
      <w:pPr>
        <w:pStyle w:val="BodyText"/>
        <w:numPr>
          <w:ilvl w:val="0"/>
          <w:numId w:val="8"/>
        </w:numPr>
        <w:shd w:val="clear" w:color="auto" w:fill="auto"/>
        <w:tabs>
          <w:tab w:val="left" w:pos="432"/>
        </w:tabs>
        <w:spacing w:after="120" w:line="360" w:lineRule="auto"/>
        <w:ind w:left="0" w:firstLine="0"/>
        <w:jc w:val="both"/>
        <w:rPr>
          <w:rFonts w:ascii="Arial" w:hAnsi="Arial" w:cs="Arial"/>
          <w:color w:val="010000"/>
          <w:sz w:val="20"/>
        </w:rPr>
      </w:pPr>
      <w:r w:rsidRPr="00727515">
        <w:rPr>
          <w:rFonts w:ascii="Arial" w:hAnsi="Arial" w:cs="Arial"/>
          <w:color w:val="010000"/>
          <w:sz w:val="20"/>
        </w:rPr>
        <w:t xml:space="preserve">Amend the Company's Charter to increase charter capital and carry out procedures to increase charter capital according to the results of the offering and the issuance in each </w:t>
      </w:r>
      <w:r w:rsidR="0048413F" w:rsidRPr="00727515">
        <w:rPr>
          <w:rFonts w:ascii="Arial" w:hAnsi="Arial" w:cs="Arial"/>
          <w:color w:val="010000"/>
          <w:sz w:val="20"/>
        </w:rPr>
        <w:t>round</w:t>
      </w:r>
      <w:r w:rsidRPr="00727515">
        <w:rPr>
          <w:rFonts w:ascii="Arial" w:hAnsi="Arial" w:cs="Arial"/>
          <w:color w:val="010000"/>
          <w:sz w:val="20"/>
        </w:rPr>
        <w:t xml:space="preserve"> at competent agencies according to the provisions of law;</w:t>
      </w:r>
    </w:p>
    <w:p w14:paraId="628D46FC" w14:textId="77777777" w:rsidR="00FE4A3B" w:rsidRPr="00727515" w:rsidRDefault="00FE4A3B" w:rsidP="00D22CB4">
      <w:pPr>
        <w:pStyle w:val="BodyText"/>
        <w:numPr>
          <w:ilvl w:val="0"/>
          <w:numId w:val="8"/>
        </w:numPr>
        <w:shd w:val="clear" w:color="auto" w:fill="auto"/>
        <w:tabs>
          <w:tab w:val="left" w:pos="432"/>
        </w:tabs>
        <w:spacing w:after="120" w:line="360" w:lineRule="auto"/>
        <w:ind w:left="0" w:firstLine="0"/>
        <w:jc w:val="both"/>
        <w:rPr>
          <w:rFonts w:ascii="Arial" w:hAnsi="Arial" w:cs="Arial"/>
          <w:color w:val="010000"/>
          <w:sz w:val="20"/>
        </w:rPr>
      </w:pPr>
      <w:r w:rsidRPr="00727515">
        <w:rPr>
          <w:rFonts w:ascii="Arial" w:hAnsi="Arial" w:cs="Arial"/>
          <w:color w:val="010000"/>
          <w:sz w:val="20"/>
        </w:rPr>
        <w:t>Implement necessary legal procedures as well as sign relevant dossiers and documents according to the provisions of law and at the request of competent authorities to complete the share issuance, register shares at the Vietnam Securities Depository and Clearing Corporation and register additional trading at</w:t>
      </w:r>
      <w:r w:rsidR="00F63C60" w:rsidRPr="00727515">
        <w:rPr>
          <w:rFonts w:ascii="Arial" w:hAnsi="Arial" w:cs="Arial"/>
          <w:color w:val="010000"/>
          <w:sz w:val="20"/>
        </w:rPr>
        <w:t xml:space="preserve"> </w:t>
      </w:r>
      <w:r w:rsidRPr="00727515">
        <w:rPr>
          <w:rFonts w:ascii="Arial" w:hAnsi="Arial" w:cs="Arial"/>
          <w:color w:val="010000"/>
          <w:sz w:val="20"/>
        </w:rPr>
        <w:t>Hanoi Stock Exchange for the Company's successfully issued shares.</w:t>
      </w:r>
    </w:p>
    <w:p w14:paraId="60E90CF5" w14:textId="77777777" w:rsidR="00FE4A3B" w:rsidRPr="00727515" w:rsidRDefault="00FE4A3B" w:rsidP="00D22CB4">
      <w:pPr>
        <w:pStyle w:val="Heading20"/>
        <w:keepNext/>
        <w:shd w:val="clear" w:color="auto" w:fill="auto"/>
        <w:tabs>
          <w:tab w:val="left" w:pos="432"/>
        </w:tabs>
        <w:spacing w:after="120" w:line="360" w:lineRule="auto"/>
        <w:jc w:val="both"/>
        <w:outlineLvl w:val="9"/>
        <w:rPr>
          <w:rFonts w:ascii="Arial" w:hAnsi="Arial" w:cs="Arial"/>
          <w:b w:val="0"/>
          <w:color w:val="010000"/>
          <w:sz w:val="20"/>
        </w:rPr>
      </w:pPr>
      <w:r w:rsidRPr="00727515">
        <w:rPr>
          <w:rFonts w:ascii="Arial" w:hAnsi="Arial" w:cs="Arial"/>
          <w:b w:val="0"/>
          <w:color w:val="010000"/>
          <w:sz w:val="20"/>
        </w:rPr>
        <w:t>Article 6: Terms of enforcement</w:t>
      </w:r>
    </w:p>
    <w:p w14:paraId="67A303EB" w14:textId="77777777" w:rsidR="00FE4A3B" w:rsidRPr="00727515" w:rsidRDefault="00FE4A3B" w:rsidP="00D22CB4">
      <w:pPr>
        <w:pStyle w:val="BodyText"/>
        <w:shd w:val="clear" w:color="auto" w:fill="auto"/>
        <w:tabs>
          <w:tab w:val="left" w:pos="432"/>
        </w:tabs>
        <w:spacing w:after="120" w:line="360" w:lineRule="auto"/>
        <w:ind w:firstLine="0"/>
        <w:jc w:val="both"/>
        <w:rPr>
          <w:rFonts w:ascii="Arial" w:hAnsi="Arial" w:cs="Arial"/>
          <w:color w:val="010000"/>
          <w:sz w:val="20"/>
        </w:rPr>
      </w:pPr>
      <w:r w:rsidRPr="00727515">
        <w:rPr>
          <w:rFonts w:ascii="Arial" w:hAnsi="Arial" w:cs="Arial"/>
          <w:color w:val="010000"/>
          <w:sz w:val="20"/>
        </w:rPr>
        <w:t>Members of the Board of Directors, the Board of Management, relevant departments and individuals are responsible for implementing this Resolution.</w:t>
      </w:r>
    </w:p>
    <w:p w14:paraId="73DA444E" w14:textId="77777777" w:rsidR="001E7ED8" w:rsidRPr="00727515" w:rsidRDefault="00FE4A3B" w:rsidP="00D22CB4">
      <w:pPr>
        <w:pStyle w:val="BodyText"/>
        <w:shd w:val="clear" w:color="auto" w:fill="auto"/>
        <w:tabs>
          <w:tab w:val="left" w:pos="432"/>
        </w:tabs>
        <w:spacing w:after="120" w:line="360" w:lineRule="auto"/>
        <w:ind w:firstLine="0"/>
        <w:jc w:val="both"/>
        <w:rPr>
          <w:rFonts w:ascii="Arial" w:hAnsi="Arial" w:cs="Arial"/>
          <w:color w:val="010000"/>
          <w:sz w:val="20"/>
        </w:rPr>
      </w:pPr>
      <w:r w:rsidRPr="00727515">
        <w:rPr>
          <w:rFonts w:ascii="Arial" w:hAnsi="Arial" w:cs="Arial"/>
          <w:color w:val="010000"/>
          <w:sz w:val="20"/>
        </w:rPr>
        <w:t>This Resolution takes effect from the date of signing.</w:t>
      </w:r>
    </w:p>
    <w:sectPr w:rsidR="001E7ED8" w:rsidRPr="00727515" w:rsidSect="00F63C60">
      <w:pgSz w:w="11907" w:h="1683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CFE74" w14:textId="77777777" w:rsidR="004822FC" w:rsidRDefault="004822FC">
      <w:r>
        <w:separator/>
      </w:r>
    </w:p>
  </w:endnote>
  <w:endnote w:type="continuationSeparator" w:id="0">
    <w:p w14:paraId="68A12EC5" w14:textId="77777777" w:rsidR="004822FC" w:rsidRDefault="0048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C3875" w14:textId="77777777" w:rsidR="004822FC" w:rsidRDefault="004822FC"/>
  </w:footnote>
  <w:footnote w:type="continuationSeparator" w:id="0">
    <w:p w14:paraId="6865A440" w14:textId="77777777" w:rsidR="004822FC" w:rsidRDefault="004822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014E"/>
    <w:multiLevelType w:val="multilevel"/>
    <w:tmpl w:val="491661C4"/>
    <w:lvl w:ilvl="0">
      <w:start w:val="16"/>
      <w:numFmt w:val="decimal"/>
      <w:lvlText w:val="%1."/>
      <w:lvlJc w:val="left"/>
      <w:rPr>
        <w:rFonts w:ascii="Arial" w:eastAsia="Times New Roman" w:hAnsi="Arial" w:cs="Arial"/>
        <w:b w:val="0"/>
        <w:bCs/>
        <w:i w:val="0"/>
        <w:iCs w:val="0"/>
        <w:smallCaps w:val="0"/>
        <w:strike w:val="0"/>
        <w:color w:val="000000"/>
        <w:spacing w:val="0"/>
        <w:w w:val="100"/>
        <w:position w:val="0"/>
        <w:sz w:val="20"/>
        <w:szCs w:val="22"/>
        <w:u w:val="none"/>
        <w:shd w:val="clear" w:color="auto" w:fill="auto"/>
        <w:lang w:val="vi-VN" w:eastAsia="vi-VN" w:bidi="vi-VN"/>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0C0691"/>
    <w:multiLevelType w:val="hybridMultilevel"/>
    <w:tmpl w:val="97F65F8A"/>
    <w:lvl w:ilvl="0" w:tplc="5136E4EA">
      <w:start w:val="1"/>
      <w:numFmt w:val="bullet"/>
      <w:lvlText w:val="-"/>
      <w:lvlJc w:val="left"/>
      <w:pPr>
        <w:ind w:left="720" w:hanging="360"/>
      </w:pPr>
      <w:rPr>
        <w:rFonts w:ascii="Arial" w:hAnsi="Arial" w:hint="default"/>
        <w:b w:val="0"/>
        <w:i w:val="0"/>
        <w:sz w:val="20"/>
      </w:rPr>
    </w:lvl>
    <w:lvl w:ilvl="1" w:tplc="15F6D8D2" w:tentative="1">
      <w:start w:val="1"/>
      <w:numFmt w:val="bullet"/>
      <w:lvlText w:val="o"/>
      <w:lvlJc w:val="left"/>
      <w:pPr>
        <w:ind w:left="1440" w:hanging="360"/>
      </w:pPr>
      <w:rPr>
        <w:rFonts w:ascii="Courier New" w:hAnsi="Courier New" w:cs="Courier New" w:hint="default"/>
        <w:b w:val="0"/>
        <w:i w:val="0"/>
        <w:sz w:val="20"/>
      </w:rPr>
    </w:lvl>
    <w:lvl w:ilvl="2" w:tplc="B2A856DA"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A4451"/>
    <w:multiLevelType w:val="multilevel"/>
    <w:tmpl w:val="26364724"/>
    <w:lvl w:ilvl="0">
      <w:start w:val="1"/>
      <w:numFmt w:val="lowerLetter"/>
      <w:lvlText w:val="%1."/>
      <w:lvlJc w:val="left"/>
      <w:rPr>
        <w:rFonts w:ascii="Arial" w:eastAsia="Times New Roman" w:hAnsi="Arial" w:cs="Arial"/>
        <w:b w:val="0"/>
        <w:bCs/>
        <w:i w:val="0"/>
        <w:iCs/>
        <w:smallCaps w:val="0"/>
        <w:strike w:val="0"/>
        <w:color w:val="000000"/>
        <w:spacing w:val="0"/>
        <w:w w:val="100"/>
        <w:position w:val="0"/>
        <w:sz w:val="20"/>
        <w:szCs w:val="22"/>
        <w:u w:val="none"/>
        <w:shd w:val="clear" w:color="auto" w:fill="auto"/>
        <w:lang w:val="vi-VN" w:eastAsia="vi-VN" w:bidi="vi-VN"/>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211FCE"/>
    <w:multiLevelType w:val="multilevel"/>
    <w:tmpl w:val="BD0C2AE4"/>
    <w:lvl w:ilvl="0">
      <w:start w:val="1"/>
      <w:numFmt w:val="bullet"/>
      <w:lvlText w:val="-"/>
      <w:lvlJc w:val="left"/>
      <w:rPr>
        <w:rFonts w:ascii="Arial" w:eastAsia="Times New Roman" w:hAnsi="Arial" w:cs="Arial"/>
        <w:b w:val="0"/>
        <w:bCs w:val="0"/>
        <w:i w:val="0"/>
        <w:iCs/>
        <w:smallCaps w:val="0"/>
        <w:strike w:val="0"/>
        <w:color w:val="000000"/>
        <w:spacing w:val="0"/>
        <w:w w:val="100"/>
        <w:position w:val="0"/>
        <w:sz w:val="20"/>
        <w:szCs w:val="19"/>
        <w:u w:val="none"/>
        <w:shd w:val="clear" w:color="auto" w:fill="auto"/>
        <w:lang w:val="vi-VN" w:eastAsia="vi-VN" w:bidi="vi-VN"/>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A05A0"/>
    <w:multiLevelType w:val="hybridMultilevel"/>
    <w:tmpl w:val="E1A2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153D34"/>
    <w:multiLevelType w:val="multilevel"/>
    <w:tmpl w:val="6AF6E8C8"/>
    <w:lvl w:ilvl="0">
      <w:start w:val="1"/>
      <w:numFmt w:val="lowerLetter"/>
      <w:lvlText w:val="%1."/>
      <w:lvlJc w:val="left"/>
      <w:rPr>
        <w:rFonts w:ascii="Arial" w:eastAsia="Times New Roman" w:hAnsi="Arial" w:cs="Arial"/>
        <w:b w:val="0"/>
        <w:bCs/>
        <w:i w:val="0"/>
        <w:iCs/>
        <w:smallCaps w:val="0"/>
        <w:strike w:val="0"/>
        <w:color w:val="000000"/>
        <w:spacing w:val="0"/>
        <w:w w:val="100"/>
        <w:position w:val="0"/>
        <w:sz w:val="20"/>
        <w:szCs w:val="22"/>
        <w:u w:val="none"/>
        <w:shd w:val="clear" w:color="auto" w:fill="auto"/>
        <w:lang w:val="vi-VN" w:eastAsia="vi-VN" w:bidi="vi-VN"/>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0C65F6"/>
    <w:multiLevelType w:val="hybridMultilevel"/>
    <w:tmpl w:val="D040A486"/>
    <w:lvl w:ilvl="0" w:tplc="1348F42A">
      <w:start w:val="1"/>
      <w:numFmt w:val="lowerLetter"/>
      <w:lvlText w:val="%1."/>
      <w:lvlJc w:val="left"/>
      <w:pPr>
        <w:ind w:left="380" w:hanging="360"/>
      </w:pPr>
      <w:rPr>
        <w:rFonts w:hint="default"/>
        <w:b w:val="0"/>
        <w:i w:val="0"/>
        <w:sz w:val="20"/>
      </w:rPr>
    </w:lvl>
    <w:lvl w:ilvl="1" w:tplc="E7E01770" w:tentative="1">
      <w:start w:val="1"/>
      <w:numFmt w:val="lowerLetter"/>
      <w:lvlText w:val="%2."/>
      <w:lvlJc w:val="left"/>
      <w:pPr>
        <w:ind w:left="1100" w:hanging="360"/>
      </w:pPr>
      <w:rPr>
        <w:b w:val="0"/>
        <w:i w:val="0"/>
        <w:sz w:val="20"/>
      </w:rPr>
    </w:lvl>
    <w:lvl w:ilvl="2" w:tplc="503EACDC" w:tentative="1">
      <w:start w:val="1"/>
      <w:numFmt w:val="lowerRoman"/>
      <w:lvlText w:val="%3."/>
      <w:lvlJc w:val="right"/>
      <w:pPr>
        <w:ind w:left="1820" w:hanging="180"/>
      </w:pPr>
      <w:rPr>
        <w:b w:val="0"/>
        <w:i w:val="0"/>
        <w:sz w:val="20"/>
      </w:r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7">
    <w:nsid w:val="7A240AEA"/>
    <w:multiLevelType w:val="multilevel"/>
    <w:tmpl w:val="491661C4"/>
    <w:lvl w:ilvl="0">
      <w:start w:val="16"/>
      <w:numFmt w:val="decimal"/>
      <w:lvlText w:val="%1."/>
      <w:lvlJc w:val="left"/>
      <w:rPr>
        <w:rFonts w:ascii="Arial" w:eastAsia="Times New Roman" w:hAnsi="Arial" w:cs="Arial"/>
        <w:b w:val="0"/>
        <w:bCs/>
        <w:i w:val="0"/>
        <w:iCs w:val="0"/>
        <w:smallCaps w:val="0"/>
        <w:strike w:val="0"/>
        <w:color w:val="000000"/>
        <w:spacing w:val="0"/>
        <w:w w:val="100"/>
        <w:position w:val="0"/>
        <w:sz w:val="20"/>
        <w:szCs w:val="22"/>
        <w:u w:val="none"/>
        <w:shd w:val="clear" w:color="auto" w:fill="auto"/>
        <w:lang w:val="vi-VN" w:eastAsia="vi-VN" w:bidi="vi-VN"/>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5"/>
  </w:num>
  <w:num w:numId="4">
    <w:abstractNumId w:val="2"/>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D8"/>
    <w:rsid w:val="001D1997"/>
    <w:rsid w:val="001E7ED8"/>
    <w:rsid w:val="001F7F2D"/>
    <w:rsid w:val="003A2BCD"/>
    <w:rsid w:val="003E1144"/>
    <w:rsid w:val="004822FC"/>
    <w:rsid w:val="0048413F"/>
    <w:rsid w:val="00497D54"/>
    <w:rsid w:val="004D70E6"/>
    <w:rsid w:val="004F45E1"/>
    <w:rsid w:val="00513253"/>
    <w:rsid w:val="006B5924"/>
    <w:rsid w:val="00707490"/>
    <w:rsid w:val="00727515"/>
    <w:rsid w:val="00742EF6"/>
    <w:rsid w:val="007C1832"/>
    <w:rsid w:val="00900C94"/>
    <w:rsid w:val="00937EAA"/>
    <w:rsid w:val="009952DA"/>
    <w:rsid w:val="00AD09EF"/>
    <w:rsid w:val="00AF104D"/>
    <w:rsid w:val="00B80A42"/>
    <w:rsid w:val="00D22CB4"/>
    <w:rsid w:val="00D80016"/>
    <w:rsid w:val="00EA130D"/>
    <w:rsid w:val="00F63C60"/>
    <w:rsid w:val="00FD7C3C"/>
    <w:rsid w:val="00FE4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8EA97"/>
  <w15:docId w15:val="{08679B3D-BD81-4980-BB33-EC4489D7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28292B"/>
      <w:sz w:val="32"/>
      <w:szCs w:val="32"/>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28292B"/>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0"/>
      <w:szCs w:val="1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9"/>
      <w:szCs w:val="19"/>
      <w:u w:val="none"/>
    </w:rPr>
  </w:style>
  <w:style w:type="paragraph" w:styleId="BodyText">
    <w:name w:val="Body Text"/>
    <w:basedOn w:val="Normal"/>
    <w:link w:val="BodyTextChar"/>
    <w:qFormat/>
    <w:pPr>
      <w:shd w:val="clear" w:color="auto" w:fill="FFFFFF"/>
      <w:spacing w:line="288" w:lineRule="auto"/>
      <w:ind w:firstLine="20"/>
    </w:pPr>
    <w:rPr>
      <w:rFonts w:ascii="Times New Roman" w:eastAsia="Times New Roman" w:hAnsi="Times New Roman" w:cs="Times New Roman"/>
      <w:sz w:val="22"/>
      <w:szCs w:val="22"/>
    </w:rPr>
  </w:style>
  <w:style w:type="paragraph" w:customStyle="1" w:styleId="Heading20">
    <w:name w:val="Heading #2"/>
    <w:basedOn w:val="Normal"/>
    <w:link w:val="Heading2"/>
    <w:pPr>
      <w:shd w:val="clear" w:color="auto" w:fill="FFFFFF"/>
      <w:spacing w:line="293" w:lineRule="auto"/>
      <w:outlineLvl w:val="1"/>
    </w:pPr>
    <w:rPr>
      <w:rFonts w:ascii="Times New Roman" w:eastAsia="Times New Roman" w:hAnsi="Times New Roman" w:cs="Times New Roman"/>
      <w:b/>
      <w:bCs/>
      <w:sz w:val="22"/>
      <w:szCs w:val="22"/>
    </w:rPr>
  </w:style>
  <w:style w:type="paragraph" w:customStyle="1" w:styleId="Heading10">
    <w:name w:val="Heading #1"/>
    <w:basedOn w:val="Normal"/>
    <w:link w:val="Heading1"/>
    <w:pPr>
      <w:shd w:val="clear" w:color="auto" w:fill="FFFFFF"/>
      <w:jc w:val="center"/>
      <w:outlineLvl w:val="0"/>
    </w:pPr>
    <w:rPr>
      <w:rFonts w:ascii="Times New Roman" w:eastAsia="Times New Roman" w:hAnsi="Times New Roman" w:cs="Times New Roman"/>
      <w:b/>
      <w:bCs/>
      <w:color w:val="28292B"/>
      <w:sz w:val="32"/>
      <w:szCs w:val="32"/>
    </w:rPr>
  </w:style>
  <w:style w:type="paragraph" w:customStyle="1" w:styleId="Tablecaption0">
    <w:name w:val="Table caption"/>
    <w:basedOn w:val="Normal"/>
    <w:link w:val="Tablecaption"/>
    <w:pPr>
      <w:shd w:val="clear" w:color="auto" w:fill="FFFFFF"/>
      <w:spacing w:line="302" w:lineRule="auto"/>
    </w:pPr>
    <w:rPr>
      <w:rFonts w:ascii="Times New Roman" w:eastAsia="Times New Roman" w:hAnsi="Times New Roman" w:cs="Times New Roman"/>
      <w:color w:val="28292B"/>
      <w:sz w:val="22"/>
      <w:szCs w:val="22"/>
    </w:rPr>
  </w:style>
  <w:style w:type="paragraph" w:customStyle="1" w:styleId="Other0">
    <w:name w:val="Other"/>
    <w:basedOn w:val="Normal"/>
    <w:link w:val="Other"/>
    <w:pPr>
      <w:shd w:val="clear" w:color="auto" w:fill="FFFFFF"/>
      <w:spacing w:line="288" w:lineRule="auto"/>
      <w:ind w:firstLine="20"/>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line="218" w:lineRule="auto"/>
    </w:pPr>
    <w:rPr>
      <w:rFonts w:ascii="Times New Roman" w:eastAsia="Times New Roman" w:hAnsi="Times New Roman" w:cs="Times New Roman"/>
      <w:color w:val="FF0000"/>
      <w:sz w:val="10"/>
      <w:szCs w:val="10"/>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1919</Words>
  <Characters>10339</Characters>
  <Application>Microsoft Office Word</Application>
  <DocSecurity>0</DocSecurity>
  <Lines>206</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23</cp:revision>
  <dcterms:created xsi:type="dcterms:W3CDTF">2024-07-10T03:22:00Z</dcterms:created>
  <dcterms:modified xsi:type="dcterms:W3CDTF">2024-07-11T07:58:00Z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cf407b14424b2ab621c576eb39a0c4f46331dbd00d99afd608c6f39851ef81f1</vt:lpwstr>
  </property>
</Properties>
</file>