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409D8">
        <w:rPr>
          <w:rFonts w:ascii="Arial" w:hAnsi="Arial" w:cs="Arial"/>
          <w:b/>
          <w:color w:val="010000"/>
          <w:sz w:val="20"/>
        </w:rPr>
        <w:t>BAX: Board Resolution</w:t>
      </w:r>
    </w:p>
    <w:p w14:paraId="00000002" w14:textId="4BF4B4EF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 xml:space="preserve">On July 12, 2024, Thong </w:t>
      </w:r>
      <w:proofErr w:type="spellStart"/>
      <w:r w:rsidRPr="00B409D8">
        <w:rPr>
          <w:rFonts w:ascii="Arial" w:hAnsi="Arial" w:cs="Arial"/>
          <w:color w:val="010000"/>
          <w:sz w:val="20"/>
        </w:rPr>
        <w:t>Nhat</w:t>
      </w:r>
      <w:proofErr w:type="spellEnd"/>
      <w:r w:rsidRPr="00B409D8">
        <w:rPr>
          <w:rFonts w:ascii="Arial" w:hAnsi="Arial" w:cs="Arial"/>
          <w:color w:val="010000"/>
          <w:sz w:val="20"/>
        </w:rPr>
        <w:t xml:space="preserve"> Joint Stock Company announced Resolution No. 08/NQ-HDQT as follows:</w:t>
      </w:r>
    </w:p>
    <w:p w14:paraId="00000003" w14:textId="470B1A68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Article 1: Approve the dividend payment in 2023 round 2 in</w:t>
      </w:r>
      <w:bookmarkStart w:id="0" w:name="_GoBack"/>
      <w:bookmarkEnd w:id="0"/>
      <w:r w:rsidRPr="00B409D8">
        <w:rPr>
          <w:rFonts w:ascii="Arial" w:hAnsi="Arial" w:cs="Arial"/>
          <w:color w:val="010000"/>
          <w:sz w:val="20"/>
        </w:rPr>
        <w:t xml:space="preserve"> cash, with the following main contents:</w:t>
      </w:r>
    </w:p>
    <w:p w14:paraId="00000004" w14:textId="0F538EB8" w:rsidR="00C36126" w:rsidRPr="00B409D8" w:rsidRDefault="00B409D8" w:rsidP="00905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Dividend payment rate: 5%/par value (VND500/share).</w:t>
      </w:r>
    </w:p>
    <w:p w14:paraId="00000005" w14:textId="6CF77A73" w:rsidR="00C36126" w:rsidRPr="00B409D8" w:rsidRDefault="00B409D8" w:rsidP="00905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Record date for the list of shareholders to pay dividends: July 31, 2024.</w:t>
      </w:r>
    </w:p>
    <w:p w14:paraId="00000006" w14:textId="77777777" w:rsidR="00C36126" w:rsidRPr="00B409D8" w:rsidRDefault="00B409D8" w:rsidP="00905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Dividend payment time: August 26, 2024.</w:t>
      </w:r>
    </w:p>
    <w:p w14:paraId="00000007" w14:textId="2844BAE5" w:rsidR="00C36126" w:rsidRPr="00B409D8" w:rsidRDefault="00B409D8" w:rsidP="00905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Implementation objects: All shareholders on the record list of securities owners on the record date to pay dividends.</w:t>
      </w:r>
    </w:p>
    <w:p w14:paraId="00000008" w14:textId="77777777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Article 2: Terms of enforcement</w:t>
      </w:r>
    </w:p>
    <w:p w14:paraId="00000009" w14:textId="77777777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A" w14:textId="6FC2BC47" w:rsidR="00C36126" w:rsidRPr="00B409D8" w:rsidRDefault="00B409D8" w:rsidP="009052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09D8">
        <w:rPr>
          <w:rFonts w:ascii="Arial" w:hAnsi="Arial" w:cs="Arial"/>
          <w:color w:val="010000"/>
          <w:sz w:val="20"/>
        </w:rPr>
        <w:t>Members of the Board of Directors, the Board of Management, and affiliated departments are responsible for the implementation of this Resolution.</w:t>
      </w:r>
    </w:p>
    <w:sectPr w:rsidR="00C36126" w:rsidRPr="00B409D8" w:rsidSect="00B409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555"/>
    <w:multiLevelType w:val="multilevel"/>
    <w:tmpl w:val="10D4F7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F10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26"/>
    <w:rsid w:val="009052DC"/>
    <w:rsid w:val="00B409D8"/>
    <w:rsid w:val="00C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87757"/>
  <w15:docId w15:val="{0FD8FB7A-D766-4C3C-BA62-A2984E1E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10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0F1013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ind w:hanging="128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  <w:ind w:hanging="128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rUKNwIHyD6WY5VkQq7mDhMtVSg==">CgMxLjA4AHIhMXVzdjNSamVlMUxnbElFM1haNG1qbHpiVnIzd000UElS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2024-07-15T03:15:00Z</dcterms:created>
  <dcterms:modified xsi:type="dcterms:W3CDTF">2024-07-16T04:05:00Z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00904986d5c4ce5c46083e72c36dad03c49af4e922d2288b31982b7a58e92c1f</vt:lpwstr>
  </property>
</Properties>
</file>