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D43" w:rsidRPr="00813CED" w:rsidRDefault="00813CED" w:rsidP="002C1ED9">
      <w:pPr>
        <w:pBdr>
          <w:top w:val="nil"/>
          <w:left w:val="nil"/>
          <w:bottom w:val="nil"/>
          <w:right w:val="nil"/>
          <w:between w:val="nil"/>
        </w:pBdr>
        <w:tabs>
          <w:tab w:val="left" w:pos="432"/>
          <w:tab w:val="left" w:pos="655"/>
        </w:tabs>
        <w:spacing w:after="120" w:line="360" w:lineRule="auto"/>
        <w:jc w:val="both"/>
        <w:rPr>
          <w:rFonts w:ascii="Arial" w:eastAsia="Arial" w:hAnsi="Arial" w:cs="Arial"/>
          <w:b/>
          <w:color w:val="010000"/>
          <w:sz w:val="20"/>
          <w:szCs w:val="20"/>
        </w:rPr>
      </w:pPr>
      <w:r w:rsidRPr="00813CED">
        <w:rPr>
          <w:rFonts w:ascii="Arial" w:hAnsi="Arial" w:cs="Arial"/>
          <w:b/>
          <w:color w:val="010000"/>
          <w:sz w:val="20"/>
        </w:rPr>
        <w:t>PSI: Results of the private placement of bonds Round 1 in 2024</w:t>
      </w:r>
    </w:p>
    <w:p w:rsidR="00A04D43" w:rsidRPr="00813CED" w:rsidRDefault="00813CED" w:rsidP="002C1ED9">
      <w:pPr>
        <w:pBdr>
          <w:top w:val="nil"/>
          <w:left w:val="nil"/>
          <w:bottom w:val="nil"/>
          <w:right w:val="nil"/>
          <w:between w:val="nil"/>
        </w:pBdr>
        <w:tabs>
          <w:tab w:val="left" w:pos="432"/>
          <w:tab w:val="left" w:pos="655"/>
        </w:tabs>
        <w:spacing w:after="120" w:line="360" w:lineRule="auto"/>
        <w:jc w:val="both"/>
        <w:rPr>
          <w:rFonts w:ascii="Arial" w:eastAsia="Arial" w:hAnsi="Arial" w:cs="Arial"/>
          <w:color w:val="010000"/>
          <w:sz w:val="20"/>
          <w:szCs w:val="20"/>
        </w:rPr>
      </w:pPr>
      <w:r w:rsidRPr="00813CED">
        <w:rPr>
          <w:rFonts w:ascii="Arial" w:hAnsi="Arial" w:cs="Arial"/>
          <w:color w:val="010000"/>
          <w:sz w:val="20"/>
        </w:rPr>
        <w:t xml:space="preserve">On July </w:t>
      </w:r>
      <w:r w:rsidR="00DD2726" w:rsidRPr="00813CED">
        <w:rPr>
          <w:rFonts w:ascii="Arial" w:hAnsi="Arial" w:cs="Arial"/>
          <w:color w:val="010000"/>
          <w:sz w:val="20"/>
        </w:rPr>
        <w:t>11, 2024</w:t>
      </w:r>
      <w:r w:rsidRPr="00813CED">
        <w:rPr>
          <w:rFonts w:ascii="Arial" w:hAnsi="Arial" w:cs="Arial"/>
          <w:color w:val="010000"/>
          <w:sz w:val="20"/>
        </w:rPr>
        <w:t xml:space="preserve">, </w:t>
      </w:r>
      <w:proofErr w:type="spellStart"/>
      <w:r w:rsidRPr="00813CED">
        <w:rPr>
          <w:rFonts w:ascii="Arial" w:hAnsi="Arial" w:cs="Arial"/>
          <w:color w:val="010000"/>
          <w:sz w:val="20"/>
        </w:rPr>
        <w:t>Petrovietnam</w:t>
      </w:r>
      <w:proofErr w:type="spellEnd"/>
      <w:r w:rsidRPr="00813CED">
        <w:rPr>
          <w:rFonts w:ascii="Arial" w:hAnsi="Arial" w:cs="Arial"/>
          <w:color w:val="010000"/>
          <w:sz w:val="20"/>
        </w:rPr>
        <w:t xml:space="preserve"> Securities Incorporated announced the Official Dispatch on the results of the private placement of bonds as follows:</w:t>
      </w:r>
    </w:p>
    <w:p w:rsidR="00A04D43" w:rsidRPr="00813CED" w:rsidRDefault="00813CED" w:rsidP="002C1ED9">
      <w:pPr>
        <w:numPr>
          <w:ilvl w:val="0"/>
          <w:numId w:val="5"/>
        </w:numPr>
        <w:pBdr>
          <w:top w:val="nil"/>
          <w:left w:val="nil"/>
          <w:bottom w:val="nil"/>
          <w:right w:val="nil"/>
          <w:between w:val="nil"/>
        </w:pBdr>
        <w:tabs>
          <w:tab w:val="left" w:pos="432"/>
          <w:tab w:val="left" w:pos="655"/>
        </w:tabs>
        <w:spacing w:after="120" w:line="360" w:lineRule="auto"/>
        <w:ind w:left="0" w:firstLine="0"/>
        <w:jc w:val="both"/>
        <w:rPr>
          <w:rFonts w:ascii="Arial" w:eastAsia="Arial" w:hAnsi="Arial" w:cs="Arial"/>
          <w:color w:val="010000"/>
          <w:sz w:val="20"/>
          <w:szCs w:val="20"/>
        </w:rPr>
      </w:pPr>
      <w:r w:rsidRPr="00813CED">
        <w:rPr>
          <w:rFonts w:ascii="Arial" w:hAnsi="Arial" w:cs="Arial"/>
          <w:color w:val="010000"/>
          <w:sz w:val="20"/>
        </w:rPr>
        <w:t>Information of the results of the private placement of bonds</w:t>
      </w:r>
    </w:p>
    <w:p w:rsidR="00A04D43" w:rsidRPr="00813CED" w:rsidRDefault="00813CED" w:rsidP="002C1ED9">
      <w:pPr>
        <w:numPr>
          <w:ilvl w:val="0"/>
          <w:numId w:val="6"/>
        </w:numPr>
        <w:pBdr>
          <w:top w:val="nil"/>
          <w:left w:val="nil"/>
          <w:bottom w:val="nil"/>
          <w:right w:val="nil"/>
          <w:between w:val="nil"/>
        </w:pBdr>
        <w:tabs>
          <w:tab w:val="left" w:pos="354"/>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Bond code: PSIH2426001</w:t>
      </w:r>
    </w:p>
    <w:p w:rsidR="00A04D43" w:rsidRPr="00813CED" w:rsidRDefault="00813CED" w:rsidP="002C1ED9">
      <w:pPr>
        <w:keepNext/>
        <w:numPr>
          <w:ilvl w:val="0"/>
          <w:numId w:val="6"/>
        </w:numPr>
        <w:pBdr>
          <w:top w:val="nil"/>
          <w:left w:val="nil"/>
          <w:bottom w:val="nil"/>
          <w:right w:val="nil"/>
          <w:between w:val="nil"/>
        </w:pBdr>
        <w:tabs>
          <w:tab w:val="left" w:pos="354"/>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Terms and conditions of the Bond:</w:t>
      </w:r>
    </w:p>
    <w:p w:rsidR="00A04D43" w:rsidRPr="00813CED" w:rsidRDefault="00813CED" w:rsidP="002C1ED9">
      <w:pPr>
        <w:numPr>
          <w:ilvl w:val="0"/>
          <w:numId w:val="7"/>
        </w:numPr>
        <w:pBdr>
          <w:top w:val="nil"/>
          <w:left w:val="nil"/>
          <w:bottom w:val="nil"/>
          <w:right w:val="nil"/>
          <w:between w:val="nil"/>
        </w:pBdr>
        <w:tabs>
          <w:tab w:val="left" w:pos="432"/>
          <w:tab w:val="left" w:pos="655"/>
        </w:tabs>
        <w:spacing w:after="120" w:line="360" w:lineRule="auto"/>
        <w:jc w:val="both"/>
        <w:rPr>
          <w:rFonts w:ascii="Arial" w:eastAsia="Arial" w:hAnsi="Arial" w:cs="Arial"/>
          <w:color w:val="010000"/>
          <w:sz w:val="20"/>
          <w:szCs w:val="20"/>
        </w:rPr>
      </w:pPr>
      <w:r w:rsidRPr="00813CED">
        <w:rPr>
          <w:rFonts w:ascii="Arial" w:hAnsi="Arial" w:cs="Arial"/>
          <w:color w:val="010000"/>
          <w:sz w:val="20"/>
        </w:rPr>
        <w:t>Volume of bonds issued (detailed number of bonds and par value): 200</w:t>
      </w:r>
      <w:bookmarkStart w:id="0" w:name="_GoBack"/>
      <w:bookmarkEnd w:id="0"/>
      <w:r w:rsidRPr="00813CED">
        <w:rPr>
          <w:rFonts w:ascii="Arial" w:hAnsi="Arial" w:cs="Arial"/>
          <w:color w:val="010000"/>
          <w:sz w:val="20"/>
        </w:rPr>
        <w:t xml:space="preserve"> bonds</w:t>
      </w:r>
    </w:p>
    <w:p w:rsidR="00A04D43" w:rsidRPr="00813CED" w:rsidRDefault="00813CED" w:rsidP="002C1ED9">
      <w:pPr>
        <w:numPr>
          <w:ilvl w:val="0"/>
          <w:numId w:val="7"/>
        </w:numPr>
        <w:pBdr>
          <w:top w:val="nil"/>
          <w:left w:val="nil"/>
          <w:bottom w:val="nil"/>
          <w:right w:val="nil"/>
          <w:between w:val="nil"/>
        </w:pBdr>
        <w:tabs>
          <w:tab w:val="left" w:pos="432"/>
          <w:tab w:val="left" w:pos="655"/>
        </w:tabs>
        <w:spacing w:after="120" w:line="360" w:lineRule="auto"/>
        <w:jc w:val="both"/>
        <w:rPr>
          <w:rFonts w:ascii="Arial" w:eastAsia="Arial" w:hAnsi="Arial" w:cs="Arial"/>
          <w:color w:val="010000"/>
          <w:sz w:val="20"/>
          <w:szCs w:val="20"/>
        </w:rPr>
      </w:pPr>
      <w:r w:rsidRPr="00813CED">
        <w:rPr>
          <w:rFonts w:ascii="Arial" w:hAnsi="Arial" w:cs="Arial"/>
          <w:color w:val="010000"/>
          <w:sz w:val="20"/>
        </w:rPr>
        <w:t>Par value: VND100,000</w:t>
      </w:r>
      <w:r w:rsidR="00DD2726" w:rsidRPr="00813CED">
        <w:rPr>
          <w:rFonts w:ascii="Arial" w:hAnsi="Arial" w:cs="Arial"/>
          <w:color w:val="010000"/>
          <w:sz w:val="20"/>
        </w:rPr>
        <w:t>,000</w:t>
      </w:r>
      <w:r w:rsidRPr="00813CED">
        <w:rPr>
          <w:rFonts w:ascii="Arial" w:hAnsi="Arial" w:cs="Arial"/>
          <w:color w:val="010000"/>
          <w:sz w:val="20"/>
        </w:rPr>
        <w:t xml:space="preserve">/bond </w:t>
      </w:r>
    </w:p>
    <w:p w:rsidR="00A04D43" w:rsidRPr="00813CED" w:rsidRDefault="00813CED" w:rsidP="002C1ED9">
      <w:pPr>
        <w:numPr>
          <w:ilvl w:val="0"/>
          <w:numId w:val="7"/>
        </w:numPr>
        <w:pBdr>
          <w:top w:val="nil"/>
          <w:left w:val="nil"/>
          <w:bottom w:val="nil"/>
          <w:right w:val="nil"/>
          <w:between w:val="nil"/>
        </w:pBdr>
        <w:tabs>
          <w:tab w:val="left" w:pos="432"/>
          <w:tab w:val="left" w:pos="655"/>
        </w:tabs>
        <w:spacing w:after="120" w:line="360" w:lineRule="auto"/>
        <w:jc w:val="both"/>
        <w:rPr>
          <w:rFonts w:ascii="Arial" w:eastAsia="Arial" w:hAnsi="Arial" w:cs="Arial"/>
          <w:color w:val="010000"/>
          <w:sz w:val="20"/>
          <w:szCs w:val="20"/>
        </w:rPr>
      </w:pPr>
      <w:r w:rsidRPr="00813CED">
        <w:rPr>
          <w:rFonts w:ascii="Arial" w:hAnsi="Arial" w:cs="Arial"/>
          <w:color w:val="010000"/>
          <w:sz w:val="20"/>
        </w:rPr>
        <w:t>Term: 18 months</w:t>
      </w:r>
    </w:p>
    <w:p w:rsidR="00A04D43" w:rsidRPr="00813CED" w:rsidRDefault="00813CED" w:rsidP="002C1ED9">
      <w:pPr>
        <w:numPr>
          <w:ilvl w:val="0"/>
          <w:numId w:val="7"/>
        </w:numPr>
        <w:pBdr>
          <w:top w:val="nil"/>
          <w:left w:val="nil"/>
          <w:bottom w:val="nil"/>
          <w:right w:val="nil"/>
          <w:between w:val="nil"/>
        </w:pBdr>
        <w:tabs>
          <w:tab w:val="left" w:pos="432"/>
          <w:tab w:val="left" w:pos="655"/>
        </w:tabs>
        <w:spacing w:after="120" w:line="360" w:lineRule="auto"/>
        <w:jc w:val="both"/>
        <w:rPr>
          <w:rFonts w:ascii="Arial" w:eastAsia="Arial" w:hAnsi="Arial" w:cs="Arial"/>
          <w:color w:val="010000"/>
          <w:sz w:val="20"/>
          <w:szCs w:val="20"/>
        </w:rPr>
      </w:pPr>
      <w:r w:rsidRPr="00813CED">
        <w:rPr>
          <w:rFonts w:ascii="Arial" w:hAnsi="Arial" w:cs="Arial"/>
          <w:color w:val="010000"/>
          <w:sz w:val="20"/>
        </w:rPr>
        <w:t>Bond type: Inconvertible corporate bonds, without collateral</w:t>
      </w:r>
    </w:p>
    <w:p w:rsidR="00A04D43" w:rsidRPr="00813CED" w:rsidRDefault="00813CED" w:rsidP="002C1ED9">
      <w:pPr>
        <w:numPr>
          <w:ilvl w:val="0"/>
          <w:numId w:val="7"/>
        </w:numPr>
        <w:pBdr>
          <w:top w:val="nil"/>
          <w:left w:val="nil"/>
          <w:bottom w:val="nil"/>
          <w:right w:val="nil"/>
          <w:between w:val="nil"/>
        </w:pBdr>
        <w:tabs>
          <w:tab w:val="left" w:pos="432"/>
          <w:tab w:val="left" w:pos="655"/>
        </w:tabs>
        <w:spacing w:after="120" w:line="360" w:lineRule="auto"/>
        <w:jc w:val="both"/>
        <w:rPr>
          <w:rFonts w:ascii="Arial" w:eastAsia="Arial" w:hAnsi="Arial" w:cs="Arial"/>
          <w:color w:val="010000"/>
          <w:sz w:val="20"/>
          <w:szCs w:val="20"/>
        </w:rPr>
      </w:pPr>
      <w:r w:rsidRPr="00813CED">
        <w:rPr>
          <w:rFonts w:ascii="Arial" w:hAnsi="Arial" w:cs="Arial"/>
          <w:color w:val="010000"/>
          <w:sz w:val="20"/>
        </w:rPr>
        <w:t>Bond form: Certificates and book entries</w:t>
      </w:r>
    </w:p>
    <w:p w:rsidR="00A04D43" w:rsidRPr="00813CED" w:rsidRDefault="00813CED" w:rsidP="002C1ED9">
      <w:pPr>
        <w:numPr>
          <w:ilvl w:val="0"/>
          <w:numId w:val="7"/>
        </w:numPr>
        <w:pBdr>
          <w:top w:val="nil"/>
          <w:left w:val="nil"/>
          <w:bottom w:val="nil"/>
          <w:right w:val="nil"/>
          <w:between w:val="nil"/>
        </w:pBdr>
        <w:tabs>
          <w:tab w:val="left" w:pos="432"/>
          <w:tab w:val="left" w:pos="655"/>
        </w:tabs>
        <w:spacing w:after="120" w:line="360" w:lineRule="auto"/>
        <w:jc w:val="both"/>
        <w:rPr>
          <w:rFonts w:ascii="Arial" w:eastAsia="Arial" w:hAnsi="Arial" w:cs="Arial"/>
          <w:color w:val="010000"/>
          <w:sz w:val="20"/>
          <w:szCs w:val="20"/>
        </w:rPr>
      </w:pPr>
      <w:r w:rsidRPr="00813CED">
        <w:rPr>
          <w:rFonts w:ascii="Arial" w:hAnsi="Arial" w:cs="Arial"/>
          <w:color w:val="010000"/>
          <w:sz w:val="20"/>
        </w:rPr>
        <w:t>Nominal interest rate: Fixed interest rate of 8.9%/year</w:t>
      </w:r>
    </w:p>
    <w:p w:rsidR="00A04D43" w:rsidRPr="00813CED" w:rsidRDefault="00813CED" w:rsidP="002C1ED9">
      <w:pPr>
        <w:numPr>
          <w:ilvl w:val="0"/>
          <w:numId w:val="7"/>
        </w:numPr>
        <w:pBdr>
          <w:top w:val="nil"/>
          <w:left w:val="nil"/>
          <w:bottom w:val="nil"/>
          <w:right w:val="nil"/>
          <w:between w:val="nil"/>
        </w:pBdr>
        <w:tabs>
          <w:tab w:val="left" w:pos="432"/>
          <w:tab w:val="left" w:pos="655"/>
        </w:tabs>
        <w:spacing w:after="120" w:line="360" w:lineRule="auto"/>
        <w:jc w:val="both"/>
        <w:rPr>
          <w:rFonts w:ascii="Arial" w:eastAsia="Arial" w:hAnsi="Arial" w:cs="Arial"/>
          <w:color w:val="010000"/>
          <w:sz w:val="20"/>
          <w:szCs w:val="20"/>
        </w:rPr>
      </w:pPr>
      <w:r w:rsidRPr="00813CED">
        <w:rPr>
          <w:rFonts w:ascii="Arial" w:hAnsi="Arial" w:cs="Arial"/>
          <w:color w:val="010000"/>
          <w:sz w:val="20"/>
        </w:rPr>
        <w:t>Interest payment term</w:t>
      </w:r>
      <w:r w:rsidR="00DD2726" w:rsidRPr="00813CED">
        <w:rPr>
          <w:rFonts w:ascii="Arial" w:hAnsi="Arial" w:cs="Arial"/>
          <w:color w:val="010000"/>
          <w:sz w:val="20"/>
        </w:rPr>
        <w:t>:</w:t>
      </w:r>
      <w:r w:rsidRPr="00813CED">
        <w:rPr>
          <w:rFonts w:ascii="Arial" w:hAnsi="Arial" w:cs="Arial"/>
          <w:color w:val="010000"/>
          <w:sz w:val="20"/>
        </w:rPr>
        <w:t xml:space="preserve"> Periodically every 06 months</w:t>
      </w:r>
    </w:p>
    <w:p w:rsidR="00A04D43" w:rsidRPr="00813CED" w:rsidRDefault="00813CED" w:rsidP="002C1ED9">
      <w:pPr>
        <w:numPr>
          <w:ilvl w:val="0"/>
          <w:numId w:val="7"/>
        </w:numPr>
        <w:pBdr>
          <w:top w:val="nil"/>
          <w:left w:val="nil"/>
          <w:bottom w:val="nil"/>
          <w:right w:val="nil"/>
          <w:between w:val="nil"/>
        </w:pBdr>
        <w:tabs>
          <w:tab w:val="left" w:pos="432"/>
          <w:tab w:val="left" w:pos="655"/>
        </w:tabs>
        <w:spacing w:after="120" w:line="360" w:lineRule="auto"/>
        <w:jc w:val="both"/>
        <w:rPr>
          <w:rFonts w:ascii="Arial" w:eastAsia="Arial" w:hAnsi="Arial" w:cs="Arial"/>
          <w:color w:val="010000"/>
          <w:sz w:val="20"/>
          <w:szCs w:val="20"/>
        </w:rPr>
      </w:pPr>
      <w:r w:rsidRPr="00813CED">
        <w:rPr>
          <w:rFonts w:ascii="Arial" w:hAnsi="Arial" w:cs="Arial"/>
          <w:color w:val="010000"/>
          <w:sz w:val="20"/>
        </w:rPr>
        <w:t>Actual interest rate of the issuance: 8.9%/year</w:t>
      </w:r>
    </w:p>
    <w:p w:rsidR="00A04D43" w:rsidRPr="00813CED" w:rsidRDefault="00813CED" w:rsidP="002C1ED9">
      <w:pPr>
        <w:keepNext/>
        <w:numPr>
          <w:ilvl w:val="0"/>
          <w:numId w:val="6"/>
        </w:numPr>
        <w:pBdr>
          <w:top w:val="nil"/>
          <w:left w:val="nil"/>
          <w:bottom w:val="nil"/>
          <w:right w:val="nil"/>
          <w:between w:val="nil"/>
        </w:pBdr>
        <w:tabs>
          <w:tab w:val="left" w:pos="354"/>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The issuance date and the maturity date:</w:t>
      </w:r>
    </w:p>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Issuance date: July 05, 2024</w:t>
      </w:r>
    </w:p>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 xml:space="preserve">Maturity date: </w:t>
      </w:r>
      <w:r w:rsidR="00DD2726" w:rsidRPr="00813CED">
        <w:rPr>
          <w:rFonts w:ascii="Arial" w:hAnsi="Arial" w:cs="Arial"/>
          <w:color w:val="010000"/>
          <w:sz w:val="20"/>
        </w:rPr>
        <w:t>January 5</w:t>
      </w:r>
      <w:r w:rsidRPr="00813CED">
        <w:rPr>
          <w:rFonts w:ascii="Arial" w:hAnsi="Arial" w:cs="Arial"/>
          <w:color w:val="010000"/>
          <w:sz w:val="20"/>
        </w:rPr>
        <w:t>, 2026</w:t>
      </w:r>
    </w:p>
    <w:p w:rsidR="00A04D43" w:rsidRPr="00813CED" w:rsidRDefault="00813CED" w:rsidP="002C1ED9">
      <w:pPr>
        <w:keepNext/>
        <w:numPr>
          <w:ilvl w:val="0"/>
          <w:numId w:val="6"/>
        </w:numPr>
        <w:pBdr>
          <w:top w:val="nil"/>
          <w:left w:val="nil"/>
          <w:bottom w:val="nil"/>
          <w:right w:val="nil"/>
          <w:between w:val="nil"/>
        </w:pBdr>
        <w:tabs>
          <w:tab w:val="left" w:pos="354"/>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Issuance purpose:</w:t>
      </w:r>
    </w:p>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The Issuer will use proceeds from the bond issuance to restructure the company's debt</w:t>
      </w:r>
    </w:p>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Debts expected to be restructured by the Issuer:</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8"/>
        <w:gridCol w:w="1674"/>
        <w:gridCol w:w="2411"/>
        <w:gridCol w:w="1634"/>
        <w:gridCol w:w="1649"/>
        <w:gridCol w:w="1091"/>
      </w:tblGrid>
      <w:tr w:rsidR="00A04D43" w:rsidRPr="00813CED" w:rsidTr="00DD2726">
        <w:tc>
          <w:tcPr>
            <w:tcW w:w="394" w:type="pct"/>
            <w:shd w:val="clear" w:color="auto" w:fill="auto"/>
            <w:tcMar>
              <w:top w:w="0" w:type="dxa"/>
              <w:bottom w:w="0" w:type="dxa"/>
            </w:tcMar>
            <w:vAlign w:val="center"/>
          </w:tcPr>
          <w:p w:rsidR="00A04D43" w:rsidRPr="00813CED" w:rsidRDefault="00DD2726"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 xml:space="preserve">No. </w:t>
            </w:r>
          </w:p>
        </w:tc>
        <w:tc>
          <w:tcPr>
            <w:tcW w:w="1013"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Lender</w:t>
            </w:r>
          </w:p>
        </w:tc>
        <w:tc>
          <w:tcPr>
            <w:tcW w:w="913"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Contract number/</w:t>
            </w:r>
            <w:r w:rsidR="00DD2726" w:rsidRPr="00813CED">
              <w:rPr>
                <w:color w:val="010000"/>
              </w:rPr>
              <w:t xml:space="preserve"> </w:t>
            </w:r>
            <w:r w:rsidR="00DD2726" w:rsidRPr="00813CED">
              <w:rPr>
                <w:rFonts w:ascii="Arial" w:hAnsi="Arial" w:cs="Arial"/>
                <w:color w:val="010000"/>
                <w:sz w:val="20"/>
              </w:rPr>
              <w:t>Acknowledgment of Debt</w:t>
            </w:r>
          </w:p>
        </w:tc>
        <w:tc>
          <w:tcPr>
            <w:tcW w:w="991"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Outstanding balance (VND)</w:t>
            </w:r>
          </w:p>
        </w:tc>
        <w:tc>
          <w:tcPr>
            <w:tcW w:w="99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Expected to be distributed (VND)</w:t>
            </w:r>
          </w:p>
        </w:tc>
        <w:tc>
          <w:tcPr>
            <w:tcW w:w="690"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Expected time of using capital</w:t>
            </w:r>
          </w:p>
        </w:tc>
      </w:tr>
      <w:tr w:rsidR="00A04D43" w:rsidRPr="00813CED" w:rsidTr="00DD2726">
        <w:tc>
          <w:tcPr>
            <w:tcW w:w="394"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1.</w:t>
            </w:r>
          </w:p>
        </w:tc>
        <w:tc>
          <w:tcPr>
            <w:tcW w:w="1013"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Joint Stock Commercial Bank for Investment and Development of Vietnam - Thai Ha Branch</w:t>
            </w:r>
          </w:p>
        </w:tc>
        <w:tc>
          <w:tcPr>
            <w:tcW w:w="913"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2406/2024/7740171/HDTD</w:t>
            </w:r>
          </w:p>
          <w:p w:rsidR="00A04D43" w:rsidRPr="00813CED" w:rsidRDefault="00A04D43"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991"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49,000,000,000</w:t>
            </w:r>
          </w:p>
        </w:tc>
        <w:tc>
          <w:tcPr>
            <w:tcW w:w="99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20,000,000,000</w:t>
            </w:r>
          </w:p>
        </w:tc>
        <w:tc>
          <w:tcPr>
            <w:tcW w:w="690"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July 2024</w:t>
            </w:r>
          </w:p>
        </w:tc>
      </w:tr>
      <w:tr w:rsidR="00A04D43" w:rsidRPr="00813CED" w:rsidTr="00DD2726">
        <w:tc>
          <w:tcPr>
            <w:tcW w:w="2320" w:type="pct"/>
            <w:gridSpan w:val="3"/>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Total</w:t>
            </w:r>
          </w:p>
        </w:tc>
        <w:tc>
          <w:tcPr>
            <w:tcW w:w="991"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49,000,000,000</w:t>
            </w:r>
          </w:p>
        </w:tc>
        <w:tc>
          <w:tcPr>
            <w:tcW w:w="99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20,000,000,000</w:t>
            </w:r>
          </w:p>
        </w:tc>
        <w:tc>
          <w:tcPr>
            <w:tcW w:w="690" w:type="pct"/>
            <w:shd w:val="clear" w:color="auto" w:fill="auto"/>
            <w:tcMar>
              <w:top w:w="0" w:type="dxa"/>
              <w:bottom w:w="0" w:type="dxa"/>
            </w:tcMar>
            <w:vAlign w:val="center"/>
          </w:tcPr>
          <w:p w:rsidR="00A04D43" w:rsidRPr="00813CED" w:rsidRDefault="00A04D43" w:rsidP="002C1ED9">
            <w:pPr>
              <w:tabs>
                <w:tab w:val="left" w:pos="432"/>
              </w:tabs>
              <w:spacing w:after="120" w:line="360" w:lineRule="auto"/>
              <w:jc w:val="both"/>
              <w:rPr>
                <w:rFonts w:ascii="Arial" w:eastAsia="Arial" w:hAnsi="Arial" w:cs="Arial"/>
                <w:color w:val="010000"/>
                <w:sz w:val="20"/>
                <w:szCs w:val="20"/>
              </w:rPr>
            </w:pPr>
          </w:p>
        </w:tc>
      </w:tr>
    </w:tbl>
    <w:p w:rsidR="00A04D43" w:rsidRPr="00813CED" w:rsidRDefault="00813CED" w:rsidP="002C1ED9">
      <w:pPr>
        <w:numPr>
          <w:ilvl w:val="0"/>
          <w:numId w:val="6"/>
        </w:numPr>
        <w:pBdr>
          <w:top w:val="nil"/>
          <w:left w:val="nil"/>
          <w:bottom w:val="nil"/>
          <w:right w:val="nil"/>
          <w:between w:val="nil"/>
        </w:pBdr>
        <w:tabs>
          <w:tab w:val="left" w:pos="348"/>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Issuance method: Issuance agency</w:t>
      </w:r>
    </w:p>
    <w:p w:rsidR="00A04D43" w:rsidRPr="00813CED" w:rsidRDefault="00813CED" w:rsidP="002C1ED9">
      <w:pPr>
        <w:keepNext/>
        <w:numPr>
          <w:ilvl w:val="0"/>
          <w:numId w:val="6"/>
        </w:numPr>
        <w:pBdr>
          <w:top w:val="nil"/>
          <w:left w:val="nil"/>
          <w:bottom w:val="nil"/>
          <w:right w:val="nil"/>
          <w:between w:val="nil"/>
        </w:pBdr>
        <w:tabs>
          <w:tab w:val="left" w:pos="351"/>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lastRenderedPageBreak/>
        <w:t>Payment method of bond principal and interest:</w:t>
      </w:r>
    </w:p>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Interest payment period: The principal amount is paid on the Maturity Date or redemption date as regulated in the Information Disclosure dated July 3, 2024.</w:t>
      </w:r>
    </w:p>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Interest payment term:</w:t>
      </w:r>
      <w:r w:rsidR="00DD2726" w:rsidRPr="00813CED">
        <w:rPr>
          <w:rFonts w:ascii="Arial" w:hAnsi="Arial" w:cs="Arial"/>
          <w:color w:val="010000"/>
          <w:sz w:val="20"/>
        </w:rPr>
        <w:t xml:space="preserve"> </w:t>
      </w:r>
      <w:r w:rsidRPr="00813CED">
        <w:rPr>
          <w:rFonts w:ascii="Arial" w:hAnsi="Arial" w:cs="Arial"/>
          <w:color w:val="010000"/>
          <w:sz w:val="20"/>
        </w:rPr>
        <w:t>Every 06 months</w:t>
      </w:r>
    </w:p>
    <w:p w:rsidR="00A04D43" w:rsidRPr="00813CED" w:rsidRDefault="00813CED" w:rsidP="002C1ED9">
      <w:pPr>
        <w:keepNext/>
        <w:numPr>
          <w:ilvl w:val="0"/>
          <w:numId w:val="6"/>
        </w:numPr>
        <w:pBdr>
          <w:top w:val="nil"/>
          <w:left w:val="nil"/>
          <w:bottom w:val="nil"/>
          <w:right w:val="nil"/>
          <w:between w:val="nil"/>
        </w:pBdr>
        <w:tabs>
          <w:tab w:val="left" w:pos="351"/>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Rights of investors owning bonds:</w:t>
      </w:r>
    </w:p>
    <w:p w:rsidR="00A04D43" w:rsidRPr="00813CED" w:rsidRDefault="00813CED" w:rsidP="002C1ED9">
      <w:pPr>
        <w:numPr>
          <w:ilvl w:val="0"/>
          <w:numId w:val="7"/>
        </w:numPr>
        <w:pBdr>
          <w:top w:val="nil"/>
          <w:left w:val="nil"/>
          <w:bottom w:val="nil"/>
          <w:right w:val="nil"/>
          <w:between w:val="nil"/>
        </w:pBdr>
        <w:tabs>
          <w:tab w:val="left" w:pos="331"/>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Freely transfer ownership of part or all of their bonds according to the regulations in Article 7 of Information of the Offering;</w:t>
      </w:r>
    </w:p>
    <w:p w:rsidR="00DD2726" w:rsidRPr="00813CED" w:rsidRDefault="00813CED" w:rsidP="002C1ED9">
      <w:pPr>
        <w:numPr>
          <w:ilvl w:val="0"/>
          <w:numId w:val="7"/>
        </w:numPr>
        <w:pBdr>
          <w:top w:val="nil"/>
          <w:left w:val="nil"/>
          <w:bottom w:val="nil"/>
          <w:right w:val="nil"/>
          <w:between w:val="nil"/>
        </w:pBdr>
        <w:tabs>
          <w:tab w:val="left" w:pos="331"/>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 xml:space="preserve">Transfer of Ownership Rights in cases of compliance with legally effective judgments and decisions of the Court, decisions of Arbitrators, decisions of judgment enforcement agencies, or inheritance according to the provisions of law during the period when the bonds have not been centrally registered at Vietnam Securities Depository and Clearing Corporation and/or registered for trading on the corporate bond trading system for private placement at Hanoi Stock Exchange; and </w:t>
      </w:r>
    </w:p>
    <w:p w:rsidR="00A04D43" w:rsidRPr="00813CED" w:rsidRDefault="00813CED" w:rsidP="002C1ED9">
      <w:pPr>
        <w:numPr>
          <w:ilvl w:val="0"/>
          <w:numId w:val="7"/>
        </w:numPr>
        <w:pBdr>
          <w:top w:val="nil"/>
          <w:left w:val="nil"/>
          <w:bottom w:val="nil"/>
          <w:right w:val="nil"/>
          <w:between w:val="nil"/>
        </w:pBdr>
        <w:tabs>
          <w:tab w:val="left" w:pos="331"/>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Require the Bond seller to provide full information disclosure content of the Issuer in accordance with the current provisions of law when purchasing Bonds on the secondary market;</w:t>
      </w:r>
    </w:p>
    <w:p w:rsidR="00A04D43" w:rsidRPr="00813CED" w:rsidRDefault="00813CED" w:rsidP="002C1ED9">
      <w:pPr>
        <w:numPr>
          <w:ilvl w:val="0"/>
          <w:numId w:val="7"/>
        </w:numPr>
        <w:pBdr>
          <w:top w:val="nil"/>
          <w:left w:val="nil"/>
          <w:bottom w:val="nil"/>
          <w:right w:val="nil"/>
          <w:between w:val="nil"/>
        </w:pBdr>
        <w:tabs>
          <w:tab w:val="left" w:pos="331"/>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Other rights of the Bondholders are regulated in the Bond Terms and Conditions and the Bond Documents.</w:t>
      </w:r>
    </w:p>
    <w:p w:rsidR="00A04D43" w:rsidRPr="00813CED" w:rsidRDefault="00813CED" w:rsidP="002C1ED9">
      <w:pPr>
        <w:numPr>
          <w:ilvl w:val="0"/>
          <w:numId w:val="6"/>
        </w:numPr>
        <w:pBdr>
          <w:top w:val="nil"/>
          <w:left w:val="nil"/>
          <w:bottom w:val="nil"/>
          <w:right w:val="nil"/>
          <w:between w:val="nil"/>
        </w:pBdr>
        <w:tabs>
          <w:tab w:val="left" w:pos="432"/>
          <w:tab w:val="left" w:pos="491"/>
        </w:tabs>
        <w:spacing w:after="120" w:line="360" w:lineRule="auto"/>
        <w:jc w:val="both"/>
        <w:rPr>
          <w:rFonts w:ascii="Arial" w:eastAsia="Arial" w:hAnsi="Arial" w:cs="Arial"/>
          <w:color w:val="010000"/>
          <w:sz w:val="20"/>
          <w:szCs w:val="20"/>
        </w:rPr>
      </w:pPr>
      <w:r w:rsidRPr="00813CED">
        <w:rPr>
          <w:rFonts w:ascii="Arial" w:hAnsi="Arial" w:cs="Arial"/>
          <w:color w:val="010000"/>
          <w:sz w:val="20"/>
        </w:rPr>
        <w:t>Method of exercising the rights (in the case of issuing convertible bonds, issuing warrant-linked bonds): None</w:t>
      </w:r>
    </w:p>
    <w:p w:rsidR="00A04D43" w:rsidRPr="00813CED" w:rsidRDefault="00813CED" w:rsidP="002C1ED9">
      <w:pPr>
        <w:numPr>
          <w:ilvl w:val="0"/>
          <w:numId w:val="6"/>
        </w:numPr>
        <w:pBdr>
          <w:top w:val="nil"/>
          <w:left w:val="nil"/>
          <w:bottom w:val="nil"/>
          <w:right w:val="nil"/>
          <w:between w:val="nil"/>
        </w:pBdr>
        <w:tabs>
          <w:tab w:val="left" w:pos="432"/>
          <w:tab w:val="left" w:pos="743"/>
        </w:tabs>
        <w:spacing w:after="120" w:line="360" w:lineRule="auto"/>
        <w:jc w:val="both"/>
        <w:rPr>
          <w:rFonts w:ascii="Arial" w:eastAsia="Arial" w:hAnsi="Arial" w:cs="Arial"/>
          <w:color w:val="010000"/>
          <w:sz w:val="20"/>
          <w:szCs w:val="20"/>
        </w:rPr>
      </w:pPr>
      <w:r w:rsidRPr="00813CED">
        <w:rPr>
          <w:rFonts w:ascii="Arial" w:hAnsi="Arial" w:cs="Arial"/>
          <w:color w:val="010000"/>
          <w:sz w:val="20"/>
        </w:rPr>
        <w:t>Commitment to guarantee (in case of issuing secured bonds): No collateral</w:t>
      </w:r>
    </w:p>
    <w:p w:rsidR="00A04D43" w:rsidRPr="00813CED" w:rsidRDefault="00813CED" w:rsidP="002C1ED9">
      <w:pPr>
        <w:keepNext/>
        <w:numPr>
          <w:ilvl w:val="0"/>
          <w:numId w:val="6"/>
        </w:numPr>
        <w:pBdr>
          <w:top w:val="nil"/>
          <w:left w:val="nil"/>
          <w:bottom w:val="nil"/>
          <w:right w:val="nil"/>
          <w:between w:val="nil"/>
        </w:pBdr>
        <w:tabs>
          <w:tab w:val="left" w:pos="432"/>
          <w:tab w:val="left" w:pos="743"/>
        </w:tabs>
        <w:spacing w:after="120" w:line="360" w:lineRule="auto"/>
        <w:jc w:val="both"/>
        <w:rPr>
          <w:rFonts w:ascii="Arial" w:eastAsia="Arial" w:hAnsi="Arial" w:cs="Arial"/>
          <w:color w:val="010000"/>
          <w:sz w:val="20"/>
          <w:szCs w:val="20"/>
        </w:rPr>
      </w:pPr>
      <w:r w:rsidRPr="00813CED">
        <w:rPr>
          <w:rFonts w:ascii="Arial" w:hAnsi="Arial" w:cs="Arial"/>
          <w:color w:val="010000"/>
          <w:sz w:val="20"/>
        </w:rPr>
        <w:t xml:space="preserve">Redeem bonds before </w:t>
      </w:r>
      <w:r w:rsidR="00DD2726" w:rsidRPr="00813CED">
        <w:rPr>
          <w:rFonts w:ascii="Arial" w:hAnsi="Arial" w:cs="Arial"/>
          <w:color w:val="010000"/>
          <w:sz w:val="20"/>
        </w:rPr>
        <w:t xml:space="preserve">the </w:t>
      </w:r>
      <w:r w:rsidRPr="00813CED">
        <w:rPr>
          <w:rFonts w:ascii="Arial" w:hAnsi="Arial" w:cs="Arial"/>
          <w:color w:val="010000"/>
          <w:sz w:val="20"/>
        </w:rPr>
        <w:t>maturity date, bond swap:</w:t>
      </w:r>
    </w:p>
    <w:p w:rsidR="00A04D43" w:rsidRPr="00813CED" w:rsidRDefault="00813CED" w:rsidP="002C1ED9">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 xml:space="preserve"> The Issuer committed to redeem the Bonds before maturity in the following cases:</w:t>
      </w:r>
    </w:p>
    <w:p w:rsidR="00A04D43" w:rsidRPr="00813CED" w:rsidRDefault="00813CED" w:rsidP="002C1ED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813CED">
        <w:rPr>
          <w:rFonts w:ascii="Arial" w:hAnsi="Arial" w:cs="Arial"/>
          <w:color w:val="010000"/>
          <w:sz w:val="20"/>
        </w:rPr>
        <w:t>At the end of 12 months from the Issue Date (“</w:t>
      </w:r>
      <w:r w:rsidR="00DD2726" w:rsidRPr="00813CED">
        <w:rPr>
          <w:rFonts w:ascii="Arial" w:hAnsi="Arial" w:cs="Arial"/>
          <w:color w:val="010000"/>
          <w:sz w:val="20"/>
        </w:rPr>
        <w:t>Bond Redemption Date Before Maturity”</w:t>
      </w:r>
      <w:r w:rsidRPr="00813CED">
        <w:rPr>
          <w:rFonts w:ascii="Arial" w:hAnsi="Arial" w:cs="Arial"/>
          <w:color w:val="010000"/>
          <w:sz w:val="20"/>
        </w:rPr>
        <w:t xml:space="preserve">), </w:t>
      </w:r>
      <w:r w:rsidR="00DD2726" w:rsidRPr="00813CED">
        <w:rPr>
          <w:rFonts w:ascii="Arial" w:hAnsi="Arial" w:cs="Arial"/>
          <w:color w:val="010000"/>
          <w:sz w:val="20"/>
        </w:rPr>
        <w:t xml:space="preserve">the </w:t>
      </w:r>
      <w:r w:rsidRPr="00813CED">
        <w:rPr>
          <w:rFonts w:ascii="Arial" w:hAnsi="Arial" w:cs="Arial"/>
          <w:color w:val="010000"/>
          <w:sz w:val="20"/>
        </w:rPr>
        <w:t xml:space="preserve">Bondholder is entitled to resell and the Issuer has the obligation to redeem part or all of the Bonds owned by that Owner. To carry out the redemption, the bondholder sends a request for repurchasing to the Issuer at least 10 working days before the Bond Redemption Date Before Maturity. </w:t>
      </w:r>
      <w:r w:rsidR="00DD2726" w:rsidRPr="00813CED">
        <w:rPr>
          <w:rFonts w:ascii="Arial" w:hAnsi="Arial" w:cs="Arial"/>
          <w:color w:val="010000"/>
          <w:sz w:val="20"/>
        </w:rPr>
        <w:t>The redemption</w:t>
      </w:r>
      <w:r w:rsidRPr="00813CED">
        <w:rPr>
          <w:rFonts w:ascii="Arial" w:hAnsi="Arial" w:cs="Arial"/>
          <w:color w:val="010000"/>
          <w:sz w:val="20"/>
        </w:rPr>
        <w:t xml:space="preserve"> price of each Bond is calculated as follows:</w:t>
      </w:r>
    </w:p>
    <w:p w:rsidR="00A04D43" w:rsidRPr="00813CED" w:rsidRDefault="00813CED" w:rsidP="002C1ED9">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 xml:space="preserve">Redemption price of each Bond = Bond par value + accrued unpaid Bond interest up to the resale date - Resale </w:t>
      </w:r>
      <w:proofErr w:type="gramStart"/>
      <w:r w:rsidRPr="00813CED">
        <w:rPr>
          <w:rFonts w:ascii="Arial" w:hAnsi="Arial" w:cs="Arial"/>
          <w:color w:val="010000"/>
          <w:sz w:val="20"/>
        </w:rPr>
        <w:t>fee</w:t>
      </w:r>
      <w:proofErr w:type="gramEnd"/>
      <w:r w:rsidRPr="00813CED">
        <w:rPr>
          <w:rFonts w:ascii="Arial" w:hAnsi="Arial" w:cs="Arial"/>
          <w:color w:val="010000"/>
          <w:sz w:val="20"/>
        </w:rPr>
        <w:t xml:space="preserve"> X Bond par value.</w:t>
      </w:r>
    </w:p>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In which, the resale fee is 0.6%.</w:t>
      </w:r>
    </w:p>
    <w:p w:rsidR="00A04D43" w:rsidRPr="00813CED" w:rsidRDefault="00813CED" w:rsidP="002C1ED9">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 xml:space="preserve">Mandatory redemption before </w:t>
      </w:r>
      <w:r w:rsidR="00DD2726" w:rsidRPr="00813CED">
        <w:rPr>
          <w:rFonts w:ascii="Arial" w:hAnsi="Arial" w:cs="Arial"/>
          <w:color w:val="010000"/>
          <w:sz w:val="20"/>
        </w:rPr>
        <w:t xml:space="preserve">the </w:t>
      </w:r>
      <w:r w:rsidRPr="00813CED">
        <w:rPr>
          <w:rFonts w:ascii="Arial" w:hAnsi="Arial" w:cs="Arial"/>
          <w:color w:val="010000"/>
          <w:sz w:val="20"/>
        </w:rPr>
        <w:t>Maturity Date due to an Event of Default:</w:t>
      </w:r>
    </w:p>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Bondholders have sufficient grounds to prove that the Issuer used the proceeds from the Bond for the wrong purpose as committed in the Information Disclosure and Bond Terms and Conditions.</w:t>
      </w:r>
    </w:p>
    <w:p w:rsidR="00A04D43" w:rsidRPr="00813CED" w:rsidRDefault="00813CED" w:rsidP="002C1ED9">
      <w:pPr>
        <w:pStyle w:val="ListParagraph"/>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The above cases of redemption of Bonds will be specifically regulated in the Bond Terms and Conditions.</w:t>
      </w:r>
    </w:p>
    <w:p w:rsidR="00A04D43" w:rsidRPr="00813CED" w:rsidRDefault="00813CED" w:rsidP="002C1ED9">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lastRenderedPageBreak/>
        <w:t xml:space="preserve"> All Bonds redeemed by the Issuer will be canceled immediately and not be reissued or resold.</w:t>
      </w:r>
    </w:p>
    <w:p w:rsidR="00A04D43" w:rsidRPr="00813CED" w:rsidRDefault="00813CED" w:rsidP="002C1ED9">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3CED">
        <w:rPr>
          <w:rFonts w:ascii="Arial" w:hAnsi="Arial" w:cs="Arial"/>
          <w:color w:val="010000"/>
          <w:sz w:val="20"/>
        </w:rPr>
        <w:t>Investors buying bonds</w:t>
      </w:r>
    </w:p>
    <w:p w:rsidR="00A04D43" w:rsidRPr="00813CED" w:rsidRDefault="00813CED" w:rsidP="002C1ED9">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3CED">
        <w:rPr>
          <w:rFonts w:ascii="Arial" w:hAnsi="Arial" w:cs="Arial"/>
          <w:color w:val="010000"/>
          <w:sz w:val="20"/>
        </w:rPr>
        <w:t>List of Investors buying bonds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0"/>
        <w:gridCol w:w="3082"/>
        <w:gridCol w:w="3499"/>
        <w:gridCol w:w="1616"/>
      </w:tblGrid>
      <w:tr w:rsidR="00A04D43" w:rsidRPr="00813CED" w:rsidTr="00DD2726">
        <w:tc>
          <w:tcPr>
            <w:tcW w:w="455" w:type="pct"/>
            <w:shd w:val="clear" w:color="auto" w:fill="auto"/>
            <w:tcMar>
              <w:top w:w="0" w:type="dxa"/>
              <w:bottom w:w="0" w:type="dxa"/>
            </w:tcMar>
            <w:vAlign w:val="center"/>
          </w:tcPr>
          <w:p w:rsidR="00A04D43" w:rsidRPr="00813CED" w:rsidRDefault="00DD2726"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 xml:space="preserve">No. </w:t>
            </w:r>
          </w:p>
        </w:tc>
        <w:tc>
          <w:tcPr>
            <w:tcW w:w="170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Bond investors</w:t>
            </w:r>
          </w:p>
        </w:tc>
        <w:tc>
          <w:tcPr>
            <w:tcW w:w="1940"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Ownership value (VND)</w:t>
            </w:r>
          </w:p>
        </w:tc>
        <w:tc>
          <w:tcPr>
            <w:tcW w:w="896"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Rate (%)</w:t>
            </w:r>
          </w:p>
        </w:tc>
      </w:tr>
      <w:tr w:rsidR="00A04D43" w:rsidRPr="00813CED" w:rsidTr="00DD2726">
        <w:tc>
          <w:tcPr>
            <w:tcW w:w="455"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I</w:t>
            </w:r>
          </w:p>
        </w:tc>
        <w:tc>
          <w:tcPr>
            <w:tcW w:w="170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Domestic investors</w:t>
            </w:r>
          </w:p>
        </w:tc>
        <w:tc>
          <w:tcPr>
            <w:tcW w:w="1940"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20,000,000,000</w:t>
            </w:r>
          </w:p>
        </w:tc>
        <w:tc>
          <w:tcPr>
            <w:tcW w:w="896"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100%</w:t>
            </w:r>
          </w:p>
        </w:tc>
      </w:tr>
      <w:tr w:rsidR="00A04D43" w:rsidRPr="00813CED" w:rsidTr="00DD2726">
        <w:tc>
          <w:tcPr>
            <w:tcW w:w="455"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1.</w:t>
            </w:r>
          </w:p>
        </w:tc>
        <w:tc>
          <w:tcPr>
            <w:tcW w:w="170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Institutional investors</w:t>
            </w:r>
          </w:p>
        </w:tc>
        <w:tc>
          <w:tcPr>
            <w:tcW w:w="1940"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20,000,000,000</w:t>
            </w:r>
          </w:p>
        </w:tc>
        <w:tc>
          <w:tcPr>
            <w:tcW w:w="896"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100%</w:t>
            </w:r>
          </w:p>
        </w:tc>
      </w:tr>
      <w:tr w:rsidR="00A04D43" w:rsidRPr="00813CED" w:rsidTr="00DD2726">
        <w:tc>
          <w:tcPr>
            <w:tcW w:w="455" w:type="pct"/>
            <w:shd w:val="clear" w:color="auto" w:fill="auto"/>
            <w:tcMar>
              <w:top w:w="0" w:type="dxa"/>
              <w:bottom w:w="0" w:type="dxa"/>
            </w:tcMar>
            <w:vAlign w:val="center"/>
          </w:tcPr>
          <w:p w:rsidR="00A04D43" w:rsidRPr="00813CED" w:rsidRDefault="00A04D43" w:rsidP="002C1ED9">
            <w:pPr>
              <w:tabs>
                <w:tab w:val="left" w:pos="432"/>
              </w:tabs>
              <w:spacing w:after="120" w:line="360" w:lineRule="auto"/>
              <w:jc w:val="both"/>
              <w:rPr>
                <w:rFonts w:ascii="Arial" w:eastAsia="Arial" w:hAnsi="Arial" w:cs="Arial"/>
                <w:color w:val="010000"/>
                <w:sz w:val="20"/>
                <w:szCs w:val="20"/>
              </w:rPr>
            </w:pPr>
          </w:p>
        </w:tc>
        <w:tc>
          <w:tcPr>
            <w:tcW w:w="170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813CED">
              <w:rPr>
                <w:rFonts w:ascii="Arial" w:hAnsi="Arial" w:cs="Arial"/>
                <w:color w:val="010000"/>
                <w:sz w:val="20"/>
              </w:rPr>
              <w:t>Vinacapital</w:t>
            </w:r>
            <w:proofErr w:type="spellEnd"/>
            <w:r w:rsidRPr="00813CED">
              <w:rPr>
                <w:rFonts w:ascii="Arial" w:hAnsi="Arial" w:cs="Arial"/>
                <w:color w:val="010000"/>
                <w:sz w:val="20"/>
              </w:rPr>
              <w:t xml:space="preserve"> Fund Management Joint Stock Company</w:t>
            </w:r>
          </w:p>
        </w:tc>
        <w:tc>
          <w:tcPr>
            <w:tcW w:w="1940"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20,000,000,000</w:t>
            </w:r>
          </w:p>
        </w:tc>
        <w:tc>
          <w:tcPr>
            <w:tcW w:w="896"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100%</w:t>
            </w:r>
          </w:p>
        </w:tc>
      </w:tr>
      <w:tr w:rsidR="00A04D43" w:rsidRPr="00813CED" w:rsidTr="00DD2726">
        <w:tc>
          <w:tcPr>
            <w:tcW w:w="455"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2.</w:t>
            </w:r>
          </w:p>
        </w:tc>
        <w:tc>
          <w:tcPr>
            <w:tcW w:w="170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Individual investors</w:t>
            </w:r>
          </w:p>
        </w:tc>
        <w:tc>
          <w:tcPr>
            <w:tcW w:w="1940"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c>
          <w:tcPr>
            <w:tcW w:w="896"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r>
      <w:tr w:rsidR="00A04D43" w:rsidRPr="00813CED" w:rsidTr="00DD2726">
        <w:tc>
          <w:tcPr>
            <w:tcW w:w="455"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II</w:t>
            </w:r>
          </w:p>
        </w:tc>
        <w:tc>
          <w:tcPr>
            <w:tcW w:w="170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Foreign investors</w:t>
            </w:r>
          </w:p>
        </w:tc>
        <w:tc>
          <w:tcPr>
            <w:tcW w:w="1940"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c>
          <w:tcPr>
            <w:tcW w:w="896"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r>
      <w:tr w:rsidR="00A04D43" w:rsidRPr="00813CED" w:rsidTr="00DD2726">
        <w:tc>
          <w:tcPr>
            <w:tcW w:w="455"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1.</w:t>
            </w:r>
          </w:p>
        </w:tc>
        <w:tc>
          <w:tcPr>
            <w:tcW w:w="170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Institutional investors</w:t>
            </w:r>
          </w:p>
        </w:tc>
        <w:tc>
          <w:tcPr>
            <w:tcW w:w="1940"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c>
          <w:tcPr>
            <w:tcW w:w="896"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r>
      <w:tr w:rsidR="00A04D43" w:rsidRPr="00813CED" w:rsidTr="00DD2726">
        <w:tc>
          <w:tcPr>
            <w:tcW w:w="455"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2.</w:t>
            </w:r>
          </w:p>
        </w:tc>
        <w:tc>
          <w:tcPr>
            <w:tcW w:w="170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Individual investors</w:t>
            </w:r>
          </w:p>
        </w:tc>
        <w:tc>
          <w:tcPr>
            <w:tcW w:w="1940"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c>
          <w:tcPr>
            <w:tcW w:w="896"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r>
      <w:tr w:rsidR="00A04D43" w:rsidRPr="00813CED" w:rsidTr="00DD2726">
        <w:tc>
          <w:tcPr>
            <w:tcW w:w="455" w:type="pct"/>
            <w:shd w:val="clear" w:color="auto" w:fill="auto"/>
            <w:tcMar>
              <w:top w:w="0" w:type="dxa"/>
              <w:bottom w:w="0" w:type="dxa"/>
            </w:tcMar>
            <w:vAlign w:val="center"/>
          </w:tcPr>
          <w:p w:rsidR="00A04D43" w:rsidRPr="00813CED" w:rsidRDefault="00A04D43" w:rsidP="002C1ED9">
            <w:pPr>
              <w:tabs>
                <w:tab w:val="left" w:pos="432"/>
              </w:tabs>
              <w:spacing w:after="120" w:line="360" w:lineRule="auto"/>
              <w:jc w:val="both"/>
              <w:rPr>
                <w:rFonts w:ascii="Arial" w:eastAsia="Arial" w:hAnsi="Arial" w:cs="Arial"/>
                <w:color w:val="010000"/>
                <w:sz w:val="20"/>
                <w:szCs w:val="20"/>
              </w:rPr>
            </w:pPr>
          </w:p>
        </w:tc>
        <w:tc>
          <w:tcPr>
            <w:tcW w:w="170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Total</w:t>
            </w:r>
          </w:p>
        </w:tc>
        <w:tc>
          <w:tcPr>
            <w:tcW w:w="1940"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20,000,000,000</w:t>
            </w:r>
          </w:p>
        </w:tc>
        <w:tc>
          <w:tcPr>
            <w:tcW w:w="896"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100%</w:t>
            </w:r>
          </w:p>
        </w:tc>
      </w:tr>
    </w:tbl>
    <w:p w:rsidR="00A04D43" w:rsidRPr="00813CED" w:rsidRDefault="00813CED" w:rsidP="002C1ED9">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3CED">
        <w:rPr>
          <w:rFonts w:ascii="Arial" w:hAnsi="Arial" w:cs="Arial"/>
          <w:color w:val="010000"/>
          <w:sz w:val="20"/>
        </w:rPr>
        <w:t>Structure of the investors buying bonds: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4"/>
        <w:gridCol w:w="4940"/>
        <w:gridCol w:w="1636"/>
        <w:gridCol w:w="1547"/>
      </w:tblGrid>
      <w:tr w:rsidR="00A04D43" w:rsidRPr="00813CED" w:rsidTr="00DD2726">
        <w:tc>
          <w:tcPr>
            <w:tcW w:w="496" w:type="pct"/>
            <w:shd w:val="clear" w:color="auto" w:fill="auto"/>
            <w:tcMar>
              <w:top w:w="0" w:type="dxa"/>
              <w:bottom w:w="0" w:type="dxa"/>
            </w:tcMar>
            <w:vAlign w:val="center"/>
          </w:tcPr>
          <w:p w:rsidR="00A04D43" w:rsidRPr="00813CED" w:rsidRDefault="00DD2726"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 xml:space="preserve">No. </w:t>
            </w: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Bond investors</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Number of investors</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Rate (%)</w:t>
            </w:r>
          </w:p>
        </w:tc>
      </w:tr>
      <w:tr w:rsidR="00A04D43" w:rsidRPr="00813CED" w:rsidTr="00DD2726">
        <w:tc>
          <w:tcPr>
            <w:tcW w:w="496"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I</w:t>
            </w: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Domestic investors</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1</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100%</w:t>
            </w:r>
          </w:p>
        </w:tc>
      </w:tr>
      <w:tr w:rsidR="00A04D43" w:rsidRPr="00813CED" w:rsidTr="00DD2726">
        <w:tc>
          <w:tcPr>
            <w:tcW w:w="496"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1</w:t>
            </w: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Institutional investors</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1</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100%</w:t>
            </w:r>
          </w:p>
        </w:tc>
      </w:tr>
      <w:tr w:rsidR="00A04D43" w:rsidRPr="00813CED" w:rsidTr="00DD2726">
        <w:tc>
          <w:tcPr>
            <w:tcW w:w="496" w:type="pct"/>
            <w:shd w:val="clear" w:color="auto" w:fill="auto"/>
            <w:tcMar>
              <w:top w:w="0" w:type="dxa"/>
              <w:bottom w:w="0" w:type="dxa"/>
            </w:tcMar>
            <w:vAlign w:val="center"/>
          </w:tcPr>
          <w:p w:rsidR="00A04D43" w:rsidRPr="00813CED" w:rsidRDefault="00A04D43" w:rsidP="002C1ED9">
            <w:pPr>
              <w:tabs>
                <w:tab w:val="left" w:pos="432"/>
              </w:tabs>
              <w:spacing w:after="120" w:line="360" w:lineRule="auto"/>
              <w:jc w:val="both"/>
              <w:rPr>
                <w:rFonts w:ascii="Arial" w:eastAsia="Arial" w:hAnsi="Arial" w:cs="Arial"/>
                <w:color w:val="010000"/>
                <w:sz w:val="20"/>
                <w:szCs w:val="20"/>
              </w:rPr>
            </w:pP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a) Credit institutions (as regulated in the Law on Credit Institutions)</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r>
      <w:tr w:rsidR="00A04D43" w:rsidRPr="00813CED" w:rsidTr="00DD2726">
        <w:tc>
          <w:tcPr>
            <w:tcW w:w="496" w:type="pct"/>
            <w:shd w:val="clear" w:color="auto" w:fill="auto"/>
            <w:tcMar>
              <w:top w:w="0" w:type="dxa"/>
              <w:bottom w:w="0" w:type="dxa"/>
            </w:tcMar>
            <w:vAlign w:val="center"/>
          </w:tcPr>
          <w:p w:rsidR="00A04D43" w:rsidRPr="00813CED" w:rsidRDefault="00A04D43" w:rsidP="002C1ED9">
            <w:pPr>
              <w:tabs>
                <w:tab w:val="left" w:pos="432"/>
              </w:tabs>
              <w:spacing w:after="120" w:line="360" w:lineRule="auto"/>
              <w:jc w:val="both"/>
              <w:rPr>
                <w:rFonts w:ascii="Arial" w:eastAsia="Arial" w:hAnsi="Arial" w:cs="Arial"/>
                <w:color w:val="010000"/>
                <w:sz w:val="20"/>
                <w:szCs w:val="20"/>
              </w:rPr>
            </w:pP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b) Securities companies</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r>
      <w:tr w:rsidR="00A04D43" w:rsidRPr="00813CED" w:rsidTr="00DD2726">
        <w:tc>
          <w:tcPr>
            <w:tcW w:w="496" w:type="pct"/>
            <w:shd w:val="clear" w:color="auto" w:fill="auto"/>
            <w:tcMar>
              <w:top w:w="0" w:type="dxa"/>
              <w:bottom w:w="0" w:type="dxa"/>
            </w:tcMar>
            <w:vAlign w:val="center"/>
          </w:tcPr>
          <w:p w:rsidR="00A04D43" w:rsidRPr="00813CED" w:rsidRDefault="00A04D43" w:rsidP="002C1ED9">
            <w:pPr>
              <w:tabs>
                <w:tab w:val="left" w:pos="432"/>
              </w:tabs>
              <w:spacing w:after="120" w:line="360" w:lineRule="auto"/>
              <w:jc w:val="both"/>
              <w:rPr>
                <w:rFonts w:ascii="Arial" w:eastAsia="Arial" w:hAnsi="Arial" w:cs="Arial"/>
                <w:color w:val="010000"/>
                <w:sz w:val="20"/>
                <w:szCs w:val="20"/>
              </w:rPr>
            </w:pP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c) Securities investment funds</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r>
      <w:tr w:rsidR="00A04D43" w:rsidRPr="00813CED" w:rsidTr="00DD2726">
        <w:tc>
          <w:tcPr>
            <w:tcW w:w="496" w:type="pct"/>
            <w:shd w:val="clear" w:color="auto" w:fill="auto"/>
            <w:tcMar>
              <w:top w:w="0" w:type="dxa"/>
              <w:bottom w:w="0" w:type="dxa"/>
            </w:tcMar>
            <w:vAlign w:val="center"/>
          </w:tcPr>
          <w:p w:rsidR="00A04D43" w:rsidRPr="00813CED" w:rsidRDefault="00A04D43" w:rsidP="002C1ED9">
            <w:pPr>
              <w:tabs>
                <w:tab w:val="left" w:pos="432"/>
              </w:tabs>
              <w:spacing w:after="120" w:line="360" w:lineRule="auto"/>
              <w:jc w:val="both"/>
              <w:rPr>
                <w:rFonts w:ascii="Arial" w:eastAsia="Arial" w:hAnsi="Arial" w:cs="Arial"/>
                <w:color w:val="010000"/>
                <w:sz w:val="20"/>
                <w:szCs w:val="20"/>
              </w:rPr>
            </w:pP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d) Insurance companies</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r>
      <w:tr w:rsidR="00A04D43" w:rsidRPr="00813CED" w:rsidTr="00DD2726">
        <w:tc>
          <w:tcPr>
            <w:tcW w:w="496" w:type="pct"/>
            <w:shd w:val="clear" w:color="auto" w:fill="auto"/>
            <w:tcMar>
              <w:top w:w="0" w:type="dxa"/>
              <w:bottom w:w="0" w:type="dxa"/>
            </w:tcMar>
            <w:vAlign w:val="center"/>
          </w:tcPr>
          <w:p w:rsidR="00A04D43" w:rsidRPr="00813CED" w:rsidRDefault="00A04D43" w:rsidP="002C1ED9">
            <w:pPr>
              <w:tabs>
                <w:tab w:val="left" w:pos="432"/>
              </w:tabs>
              <w:spacing w:after="120" w:line="360" w:lineRule="auto"/>
              <w:jc w:val="both"/>
              <w:rPr>
                <w:rFonts w:ascii="Arial" w:eastAsia="Arial" w:hAnsi="Arial" w:cs="Arial"/>
                <w:color w:val="010000"/>
                <w:sz w:val="20"/>
                <w:szCs w:val="20"/>
              </w:rPr>
            </w:pP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e) Other institutions</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1</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100%</w:t>
            </w:r>
          </w:p>
        </w:tc>
      </w:tr>
      <w:tr w:rsidR="00A04D43" w:rsidRPr="00813CED" w:rsidTr="00DD2726">
        <w:tc>
          <w:tcPr>
            <w:tcW w:w="496"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2</w:t>
            </w: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Professional individual investors</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r>
      <w:tr w:rsidR="00A04D43" w:rsidRPr="00813CED" w:rsidTr="00DD2726">
        <w:tc>
          <w:tcPr>
            <w:tcW w:w="496" w:type="pct"/>
            <w:shd w:val="clear" w:color="auto" w:fill="auto"/>
            <w:tcMar>
              <w:top w:w="0" w:type="dxa"/>
              <w:bottom w:w="0" w:type="dxa"/>
            </w:tcMar>
            <w:vAlign w:val="center"/>
          </w:tcPr>
          <w:p w:rsidR="00A04D43" w:rsidRPr="00813CED" w:rsidRDefault="00A04D43" w:rsidP="002C1ED9">
            <w:pPr>
              <w:tabs>
                <w:tab w:val="left" w:pos="432"/>
              </w:tabs>
              <w:spacing w:after="120" w:line="360" w:lineRule="auto"/>
              <w:jc w:val="both"/>
              <w:rPr>
                <w:rFonts w:ascii="Arial" w:eastAsia="Arial" w:hAnsi="Arial" w:cs="Arial"/>
                <w:color w:val="010000"/>
                <w:sz w:val="20"/>
                <w:szCs w:val="20"/>
              </w:rPr>
            </w:pP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Total number of domestic investors</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1</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100%</w:t>
            </w:r>
          </w:p>
        </w:tc>
      </w:tr>
      <w:tr w:rsidR="00A04D43" w:rsidRPr="00813CED" w:rsidTr="00DD2726">
        <w:tc>
          <w:tcPr>
            <w:tcW w:w="496"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II</w:t>
            </w: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Foreign investors</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r>
      <w:tr w:rsidR="00A04D43" w:rsidRPr="00813CED" w:rsidTr="00DD2726">
        <w:tc>
          <w:tcPr>
            <w:tcW w:w="496"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1</w:t>
            </w: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Institutional investors</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r>
      <w:tr w:rsidR="00A04D43" w:rsidRPr="00813CED" w:rsidTr="00DD2726">
        <w:tc>
          <w:tcPr>
            <w:tcW w:w="496" w:type="pct"/>
            <w:shd w:val="clear" w:color="auto" w:fill="auto"/>
            <w:tcMar>
              <w:top w:w="0" w:type="dxa"/>
              <w:bottom w:w="0" w:type="dxa"/>
            </w:tcMar>
            <w:vAlign w:val="center"/>
          </w:tcPr>
          <w:p w:rsidR="00A04D43" w:rsidRPr="00813CED" w:rsidRDefault="00A04D43" w:rsidP="002C1ED9">
            <w:pPr>
              <w:tabs>
                <w:tab w:val="left" w:pos="432"/>
              </w:tabs>
              <w:spacing w:after="120" w:line="360" w:lineRule="auto"/>
              <w:jc w:val="both"/>
              <w:rPr>
                <w:rFonts w:ascii="Arial" w:eastAsia="Arial" w:hAnsi="Arial" w:cs="Arial"/>
                <w:color w:val="010000"/>
                <w:sz w:val="20"/>
                <w:szCs w:val="20"/>
              </w:rPr>
            </w:pP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a) Credit institutions</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r>
      <w:tr w:rsidR="00A04D43" w:rsidRPr="00813CED" w:rsidTr="00DD2726">
        <w:tc>
          <w:tcPr>
            <w:tcW w:w="496" w:type="pct"/>
            <w:shd w:val="clear" w:color="auto" w:fill="auto"/>
            <w:tcMar>
              <w:top w:w="0" w:type="dxa"/>
              <w:bottom w:w="0" w:type="dxa"/>
            </w:tcMar>
            <w:vAlign w:val="center"/>
          </w:tcPr>
          <w:p w:rsidR="00A04D43" w:rsidRPr="00813CED" w:rsidRDefault="00A04D43" w:rsidP="002C1ED9">
            <w:pPr>
              <w:tabs>
                <w:tab w:val="left" w:pos="432"/>
              </w:tabs>
              <w:spacing w:after="120" w:line="360" w:lineRule="auto"/>
              <w:jc w:val="both"/>
              <w:rPr>
                <w:rFonts w:ascii="Arial" w:eastAsia="Arial" w:hAnsi="Arial" w:cs="Arial"/>
                <w:color w:val="010000"/>
                <w:sz w:val="20"/>
                <w:szCs w:val="20"/>
              </w:rPr>
            </w:pP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b) Securities companies</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r>
      <w:tr w:rsidR="00A04D43" w:rsidRPr="00813CED" w:rsidTr="00DD2726">
        <w:tc>
          <w:tcPr>
            <w:tcW w:w="496" w:type="pct"/>
            <w:shd w:val="clear" w:color="auto" w:fill="auto"/>
            <w:tcMar>
              <w:top w:w="0" w:type="dxa"/>
              <w:bottom w:w="0" w:type="dxa"/>
            </w:tcMar>
            <w:vAlign w:val="center"/>
          </w:tcPr>
          <w:p w:rsidR="00A04D43" w:rsidRPr="00813CED" w:rsidRDefault="00A04D43" w:rsidP="002C1ED9">
            <w:pPr>
              <w:tabs>
                <w:tab w:val="left" w:pos="432"/>
              </w:tabs>
              <w:spacing w:after="120" w:line="360" w:lineRule="auto"/>
              <w:jc w:val="both"/>
              <w:rPr>
                <w:rFonts w:ascii="Arial" w:eastAsia="Arial" w:hAnsi="Arial" w:cs="Arial"/>
                <w:color w:val="010000"/>
                <w:sz w:val="20"/>
                <w:szCs w:val="20"/>
              </w:rPr>
            </w:pP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c) Securities investment funds</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r>
      <w:tr w:rsidR="00A04D43" w:rsidRPr="00813CED" w:rsidTr="00DD2726">
        <w:tc>
          <w:tcPr>
            <w:tcW w:w="496" w:type="pct"/>
            <w:shd w:val="clear" w:color="auto" w:fill="auto"/>
            <w:tcMar>
              <w:top w:w="0" w:type="dxa"/>
              <w:bottom w:w="0" w:type="dxa"/>
            </w:tcMar>
            <w:vAlign w:val="center"/>
          </w:tcPr>
          <w:p w:rsidR="00A04D43" w:rsidRPr="00813CED" w:rsidRDefault="00A04D43" w:rsidP="002C1ED9">
            <w:pPr>
              <w:tabs>
                <w:tab w:val="left" w:pos="432"/>
              </w:tabs>
              <w:spacing w:after="120" w:line="360" w:lineRule="auto"/>
              <w:jc w:val="both"/>
              <w:rPr>
                <w:rFonts w:ascii="Arial" w:eastAsia="Arial" w:hAnsi="Arial" w:cs="Arial"/>
                <w:color w:val="010000"/>
                <w:sz w:val="20"/>
                <w:szCs w:val="20"/>
              </w:rPr>
            </w:pP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d) Insurance companies</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r>
      <w:tr w:rsidR="00A04D43" w:rsidRPr="00813CED" w:rsidTr="00DD2726">
        <w:tc>
          <w:tcPr>
            <w:tcW w:w="496" w:type="pct"/>
            <w:shd w:val="clear" w:color="auto" w:fill="auto"/>
            <w:tcMar>
              <w:top w:w="0" w:type="dxa"/>
              <w:bottom w:w="0" w:type="dxa"/>
            </w:tcMar>
            <w:vAlign w:val="center"/>
          </w:tcPr>
          <w:p w:rsidR="00A04D43" w:rsidRPr="00813CED" w:rsidRDefault="00A04D43" w:rsidP="002C1ED9">
            <w:pPr>
              <w:tabs>
                <w:tab w:val="left" w:pos="432"/>
              </w:tabs>
              <w:spacing w:after="120" w:line="360" w:lineRule="auto"/>
              <w:jc w:val="both"/>
              <w:rPr>
                <w:rFonts w:ascii="Arial" w:eastAsia="Arial" w:hAnsi="Arial" w:cs="Arial"/>
                <w:color w:val="010000"/>
                <w:sz w:val="20"/>
                <w:szCs w:val="20"/>
              </w:rPr>
            </w:pP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e) Other institutions</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r>
      <w:tr w:rsidR="00A04D43" w:rsidRPr="00813CED" w:rsidTr="00DD2726">
        <w:tc>
          <w:tcPr>
            <w:tcW w:w="496"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2</w:t>
            </w: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Professional individual investors</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r>
      <w:tr w:rsidR="00A04D43" w:rsidRPr="00813CED" w:rsidTr="00DD2726">
        <w:tc>
          <w:tcPr>
            <w:tcW w:w="496" w:type="pct"/>
            <w:shd w:val="clear" w:color="auto" w:fill="auto"/>
            <w:tcMar>
              <w:top w:w="0" w:type="dxa"/>
              <w:bottom w:w="0" w:type="dxa"/>
            </w:tcMar>
            <w:vAlign w:val="center"/>
          </w:tcPr>
          <w:p w:rsidR="00A04D43" w:rsidRPr="00813CED" w:rsidRDefault="00A04D43" w:rsidP="002C1ED9">
            <w:pPr>
              <w:tabs>
                <w:tab w:val="left" w:pos="432"/>
              </w:tabs>
              <w:spacing w:after="120" w:line="360" w:lineRule="auto"/>
              <w:jc w:val="both"/>
              <w:rPr>
                <w:rFonts w:ascii="Arial" w:eastAsia="Arial" w:hAnsi="Arial" w:cs="Arial"/>
                <w:color w:val="010000"/>
                <w:sz w:val="20"/>
                <w:szCs w:val="20"/>
              </w:rPr>
            </w:pP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Total of foreign investors</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0%</w:t>
            </w:r>
          </w:p>
        </w:tc>
      </w:tr>
      <w:tr w:rsidR="00A04D43" w:rsidRPr="00813CED" w:rsidTr="00DD2726">
        <w:tc>
          <w:tcPr>
            <w:tcW w:w="496" w:type="pct"/>
            <w:shd w:val="clear" w:color="auto" w:fill="auto"/>
            <w:tcMar>
              <w:top w:w="0" w:type="dxa"/>
              <w:bottom w:w="0" w:type="dxa"/>
            </w:tcMar>
            <w:vAlign w:val="center"/>
          </w:tcPr>
          <w:p w:rsidR="00A04D43" w:rsidRPr="00813CED" w:rsidRDefault="00A04D43" w:rsidP="002C1ED9">
            <w:pPr>
              <w:tabs>
                <w:tab w:val="left" w:pos="432"/>
              </w:tabs>
              <w:spacing w:after="120" w:line="360" w:lineRule="auto"/>
              <w:jc w:val="both"/>
              <w:rPr>
                <w:rFonts w:ascii="Arial" w:eastAsia="Arial" w:hAnsi="Arial" w:cs="Arial"/>
                <w:color w:val="010000"/>
                <w:sz w:val="20"/>
                <w:szCs w:val="20"/>
              </w:rPr>
            </w:pPr>
          </w:p>
        </w:tc>
        <w:tc>
          <w:tcPr>
            <w:tcW w:w="2739"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Total</w:t>
            </w:r>
          </w:p>
        </w:tc>
        <w:tc>
          <w:tcPr>
            <w:tcW w:w="907"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1</w:t>
            </w:r>
          </w:p>
        </w:tc>
        <w:tc>
          <w:tcPr>
            <w:tcW w:w="858" w:type="pct"/>
            <w:shd w:val="clear" w:color="auto" w:fill="auto"/>
            <w:tcMar>
              <w:top w:w="0" w:type="dxa"/>
              <w:bottom w:w="0" w:type="dxa"/>
            </w:tcMar>
            <w:vAlign w:val="center"/>
          </w:tcPr>
          <w:p w:rsidR="00A04D43" w:rsidRPr="00813CED" w:rsidRDefault="00813CED"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3CED">
              <w:rPr>
                <w:rFonts w:ascii="Arial" w:hAnsi="Arial" w:cs="Arial"/>
                <w:color w:val="010000"/>
                <w:sz w:val="20"/>
              </w:rPr>
              <w:t>100%</w:t>
            </w:r>
          </w:p>
        </w:tc>
      </w:tr>
    </w:tbl>
    <w:p w:rsidR="00A04D43" w:rsidRPr="00813CED" w:rsidRDefault="00A04D43" w:rsidP="002C1ED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A04D43" w:rsidRPr="00813CED" w:rsidSect="00DD2726">
      <w:pgSz w:w="11907" w:h="16839"/>
      <w:pgMar w:top="1440" w:right="1440" w:bottom="1440" w:left="1440" w:header="1042" w:footer="1042"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2D99"/>
    <w:multiLevelType w:val="multilevel"/>
    <w:tmpl w:val="65B4143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91BE5"/>
    <w:multiLevelType w:val="multilevel"/>
    <w:tmpl w:val="C56EB19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443FE8"/>
    <w:multiLevelType w:val="multilevel"/>
    <w:tmpl w:val="F4A4D72E"/>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B9280E"/>
    <w:multiLevelType w:val="multilevel"/>
    <w:tmpl w:val="963627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1686F44"/>
    <w:multiLevelType w:val="multilevel"/>
    <w:tmpl w:val="A45CE248"/>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A40CB4"/>
    <w:multiLevelType w:val="multilevel"/>
    <w:tmpl w:val="29E0F31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82D1E40"/>
    <w:multiLevelType w:val="multilevel"/>
    <w:tmpl w:val="27A67D5E"/>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43"/>
    <w:rsid w:val="002C1ED9"/>
    <w:rsid w:val="00813CED"/>
    <w:rsid w:val="00A04D43"/>
    <w:rsid w:val="00DD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918C81-48F5-43E1-B0ED-0BFB4339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Picturecaption">
    <w:name w:val="Picture caption_"/>
    <w:basedOn w:val="DefaultParagraphFont"/>
    <w:link w:val="Picturecaption0"/>
    <w:rPr>
      <w:rFonts w:ascii="Arial" w:eastAsia="Arial" w:hAnsi="Arial" w:cs="Arial"/>
      <w:b/>
      <w:bCs/>
      <w:i w:val="0"/>
      <w:iCs w:val="0"/>
      <w:smallCaps w:val="0"/>
      <w:strike w:val="0"/>
      <w:color w:val="BE3A39"/>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E3A39"/>
      <w:sz w:val="20"/>
      <w:szCs w:val="20"/>
      <w:u w:val="none"/>
      <w:shd w:val="clear" w:color="auto" w:fill="auto"/>
    </w:rPr>
  </w:style>
  <w:style w:type="paragraph" w:customStyle="1" w:styleId="Bodytext20">
    <w:name w:val="Body text (2)"/>
    <w:basedOn w:val="Normal"/>
    <w:link w:val="Bodytext2"/>
    <w:pPr>
      <w:spacing w:line="163" w:lineRule="auto"/>
      <w:ind w:firstLine="40"/>
    </w:pPr>
    <w:rPr>
      <w:rFonts w:ascii="Arial" w:eastAsia="Arial" w:hAnsi="Arial" w:cs="Arial"/>
      <w:sz w:val="8"/>
      <w:szCs w:val="8"/>
    </w:rPr>
  </w:style>
  <w:style w:type="paragraph" w:customStyle="1" w:styleId="Bodytext30">
    <w:name w:val="Body text (3)"/>
    <w:basedOn w:val="Normal"/>
    <w:link w:val="Bodytext3"/>
    <w:rPr>
      <w:rFonts w:ascii="Arial" w:eastAsia="Arial" w:hAnsi="Arial" w:cs="Arial"/>
      <w:b/>
      <w:bCs/>
      <w:sz w:val="17"/>
      <w:szCs w:val="17"/>
    </w:rPr>
  </w:style>
  <w:style w:type="paragraph" w:customStyle="1" w:styleId="Heading11">
    <w:name w:val="Heading #1"/>
    <w:basedOn w:val="Normal"/>
    <w:link w:val="Heading10"/>
    <w:pPr>
      <w:spacing w:line="300" w:lineRule="auto"/>
      <w:outlineLvl w:val="0"/>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98" w:lineRule="auto"/>
      <w:ind w:firstLine="20"/>
    </w:pPr>
    <w:rPr>
      <w:rFonts w:ascii="Times New Roman" w:eastAsia="Times New Roman" w:hAnsi="Times New Roman" w:cs="Times New Roman"/>
      <w:sz w:val="22"/>
      <w:szCs w:val="22"/>
    </w:rPr>
  </w:style>
  <w:style w:type="paragraph" w:customStyle="1" w:styleId="Picturecaption0">
    <w:name w:val="Picture caption"/>
    <w:basedOn w:val="Normal"/>
    <w:link w:val="Picturecaption"/>
    <w:pPr>
      <w:spacing w:line="322" w:lineRule="auto"/>
    </w:pPr>
    <w:rPr>
      <w:rFonts w:ascii="Arial" w:eastAsia="Arial" w:hAnsi="Arial" w:cs="Arial"/>
      <w:b/>
      <w:bCs/>
      <w:color w:val="BE3A39"/>
      <w:sz w:val="17"/>
      <w:szCs w:val="17"/>
    </w:rPr>
  </w:style>
  <w:style w:type="paragraph" w:customStyle="1" w:styleId="Tablecaption0">
    <w:name w:val="Table caption"/>
    <w:basedOn w:val="Normal"/>
    <w:link w:val="Tablecaption"/>
    <w:pPr>
      <w:spacing w:line="271" w:lineRule="auto"/>
    </w:pPr>
    <w:rPr>
      <w:rFonts w:ascii="Times New Roman" w:eastAsia="Times New Roman" w:hAnsi="Times New Roman" w:cs="Times New Roman"/>
      <w:b/>
      <w:bCs/>
      <w:sz w:val="22"/>
      <w:szCs w:val="22"/>
    </w:rPr>
  </w:style>
  <w:style w:type="paragraph" w:customStyle="1" w:styleId="Other0">
    <w:name w:val="Other"/>
    <w:basedOn w:val="Normal"/>
    <w:link w:val="Other"/>
    <w:pPr>
      <w:spacing w:line="298" w:lineRule="auto"/>
      <w:ind w:firstLine="20"/>
    </w:pPr>
    <w:rPr>
      <w:rFonts w:ascii="Times New Roman" w:eastAsia="Times New Roman" w:hAnsi="Times New Roman" w:cs="Times New Roman"/>
      <w:sz w:val="22"/>
      <w:szCs w:val="22"/>
    </w:rPr>
  </w:style>
  <w:style w:type="paragraph" w:customStyle="1" w:styleId="Bodytext40">
    <w:name w:val="Body text (4)"/>
    <w:basedOn w:val="Normal"/>
    <w:link w:val="Bodytext4"/>
    <w:rPr>
      <w:rFonts w:ascii="Arial" w:eastAsia="Arial" w:hAnsi="Arial" w:cs="Arial"/>
      <w:color w:val="BE3A39"/>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813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mW75JH+Etet2A2s6osygsTpGHA==">CgMxLjAyCGguZ2pkZ3hzOAByITFqaGxob2lxNzVUc092dmRFd18zay1OWUJ5UTctUC1NTg==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2024-07-15T03:14:00Z</dcterms:created>
  <dcterms:modified xsi:type="dcterms:W3CDTF">2024-07-16T03:38:00Z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17d5949086f4e50e5a6cbcdfc8ef60d62a26d759925c90de8b18085586b9aa91</vt:lpwstr>
  </property>
</Properties>
</file>