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59377C9" w:rsidR="003F4870" w:rsidRPr="00571DD3" w:rsidRDefault="002D1B1A" w:rsidP="006312DF">
      <w:pPr>
        <w:pBdr>
          <w:top w:val="nil"/>
          <w:left w:val="nil"/>
          <w:bottom w:val="nil"/>
          <w:right w:val="nil"/>
          <w:between w:val="nil"/>
        </w:pBdr>
        <w:tabs>
          <w:tab w:val="left" w:pos="432"/>
          <w:tab w:val="left" w:pos="4831"/>
        </w:tabs>
        <w:spacing w:after="120" w:line="360" w:lineRule="auto"/>
        <w:jc w:val="both"/>
        <w:rPr>
          <w:rFonts w:ascii="Arial" w:eastAsia="Arial" w:hAnsi="Arial" w:cs="Arial"/>
          <w:b/>
          <w:color w:val="010000"/>
          <w:sz w:val="20"/>
          <w:szCs w:val="20"/>
        </w:rPr>
      </w:pPr>
      <w:r w:rsidRPr="00571DD3">
        <w:rPr>
          <w:rFonts w:ascii="Arial" w:hAnsi="Arial" w:cs="Arial"/>
          <w:b/>
          <w:color w:val="010000"/>
          <w:sz w:val="20"/>
        </w:rPr>
        <w:t>BWS: Board Resolution</w:t>
      </w:r>
    </w:p>
    <w:p w14:paraId="00000002" w14:textId="1E0BF034"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On July 10, 2024, Ba </w:t>
      </w:r>
      <w:proofErr w:type="spellStart"/>
      <w:r w:rsidRPr="00571DD3">
        <w:rPr>
          <w:rFonts w:ascii="Arial" w:hAnsi="Arial" w:cs="Arial"/>
          <w:color w:val="010000"/>
          <w:sz w:val="20"/>
        </w:rPr>
        <w:t>Ria</w:t>
      </w:r>
      <w:proofErr w:type="spellEnd"/>
      <w:r w:rsidRPr="00571DD3">
        <w:rPr>
          <w:rFonts w:ascii="Arial" w:hAnsi="Arial" w:cs="Arial"/>
          <w:color w:val="010000"/>
          <w:sz w:val="20"/>
        </w:rPr>
        <w:t xml:space="preserve"> - </w:t>
      </w:r>
      <w:proofErr w:type="spellStart"/>
      <w:r w:rsidRPr="00571DD3">
        <w:rPr>
          <w:rFonts w:ascii="Arial" w:hAnsi="Arial" w:cs="Arial"/>
          <w:color w:val="010000"/>
          <w:sz w:val="20"/>
        </w:rPr>
        <w:t>Vung</w:t>
      </w:r>
      <w:proofErr w:type="spellEnd"/>
      <w:r w:rsidRPr="00571DD3">
        <w:rPr>
          <w:rFonts w:ascii="Arial" w:hAnsi="Arial" w:cs="Arial"/>
          <w:color w:val="010000"/>
          <w:sz w:val="20"/>
        </w:rPr>
        <w:t xml:space="preserve"> Tau Water Supply Joint Stock Company announced Resolution No. 12/2024/NQ-HDQT on approving the results of share issuance to increase share capital from </w:t>
      </w:r>
      <w:r w:rsidR="00571DD3" w:rsidRPr="00571DD3">
        <w:rPr>
          <w:rFonts w:ascii="Arial" w:hAnsi="Arial" w:cs="Arial"/>
          <w:color w:val="010000"/>
          <w:sz w:val="20"/>
        </w:rPr>
        <w:t xml:space="preserve">the </w:t>
      </w:r>
      <w:r w:rsidRPr="00571DD3">
        <w:rPr>
          <w:rFonts w:ascii="Arial" w:hAnsi="Arial" w:cs="Arial"/>
          <w:color w:val="010000"/>
          <w:sz w:val="20"/>
        </w:rPr>
        <w:t>source of owners' equity as follows:</w:t>
      </w:r>
    </w:p>
    <w:p w14:paraId="00000003" w14:textId="4B0AB014"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‎‎Article 1. Approve the results of share issuance to increase share capital from </w:t>
      </w:r>
      <w:r w:rsidR="00571DD3" w:rsidRPr="00571DD3">
        <w:rPr>
          <w:rFonts w:ascii="Arial" w:hAnsi="Arial" w:cs="Arial"/>
          <w:color w:val="010000"/>
          <w:sz w:val="20"/>
        </w:rPr>
        <w:t xml:space="preserve">the </w:t>
      </w:r>
      <w:r w:rsidRPr="00571DD3">
        <w:rPr>
          <w:rFonts w:ascii="Arial" w:hAnsi="Arial" w:cs="Arial"/>
          <w:color w:val="010000"/>
          <w:sz w:val="20"/>
        </w:rPr>
        <w:t>source of owners’ equity, specifically as follows:</w:t>
      </w:r>
    </w:p>
    <w:p w14:paraId="00000004" w14:textId="77777777" w:rsidR="003F4870" w:rsidRPr="00571DD3" w:rsidRDefault="002D1B1A" w:rsidP="006312DF">
      <w:pPr>
        <w:numPr>
          <w:ilvl w:val="0"/>
          <w:numId w:val="2"/>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Share name: Shares of Ba </w:t>
      </w:r>
      <w:proofErr w:type="spellStart"/>
      <w:r w:rsidRPr="00571DD3">
        <w:rPr>
          <w:rFonts w:ascii="Arial" w:hAnsi="Arial" w:cs="Arial"/>
          <w:color w:val="010000"/>
          <w:sz w:val="20"/>
        </w:rPr>
        <w:t>Ria</w:t>
      </w:r>
      <w:proofErr w:type="spellEnd"/>
      <w:r w:rsidRPr="00571DD3">
        <w:rPr>
          <w:rFonts w:ascii="Arial" w:hAnsi="Arial" w:cs="Arial"/>
          <w:color w:val="010000"/>
          <w:sz w:val="20"/>
        </w:rPr>
        <w:t xml:space="preserve"> - </w:t>
      </w:r>
      <w:proofErr w:type="spellStart"/>
      <w:r w:rsidRPr="00571DD3">
        <w:rPr>
          <w:rFonts w:ascii="Arial" w:hAnsi="Arial" w:cs="Arial"/>
          <w:color w:val="010000"/>
          <w:sz w:val="20"/>
        </w:rPr>
        <w:t>Vung</w:t>
      </w:r>
      <w:proofErr w:type="spellEnd"/>
      <w:r w:rsidRPr="00571DD3">
        <w:rPr>
          <w:rFonts w:ascii="Arial" w:hAnsi="Arial" w:cs="Arial"/>
          <w:color w:val="010000"/>
          <w:sz w:val="20"/>
        </w:rPr>
        <w:t xml:space="preserve"> Tau Water Supply Joint Stock Company</w:t>
      </w:r>
    </w:p>
    <w:p w14:paraId="00000005" w14:textId="77777777" w:rsidR="003F4870" w:rsidRPr="00571DD3" w:rsidRDefault="002D1B1A" w:rsidP="006312DF">
      <w:pPr>
        <w:numPr>
          <w:ilvl w:val="0"/>
          <w:numId w:val="2"/>
        </w:numPr>
        <w:pBdr>
          <w:top w:val="nil"/>
          <w:left w:val="nil"/>
          <w:bottom w:val="nil"/>
          <w:right w:val="nil"/>
          <w:between w:val="nil"/>
        </w:pBdr>
        <w:tabs>
          <w:tab w:val="left" w:pos="432"/>
          <w:tab w:val="left" w:pos="969"/>
          <w:tab w:val="left" w:pos="4831"/>
        </w:tabs>
        <w:spacing w:after="120" w:line="360" w:lineRule="auto"/>
        <w:jc w:val="both"/>
        <w:rPr>
          <w:rFonts w:ascii="Arial" w:eastAsia="Arial" w:hAnsi="Arial" w:cs="Arial"/>
          <w:color w:val="010000"/>
          <w:sz w:val="20"/>
          <w:szCs w:val="20"/>
        </w:rPr>
      </w:pPr>
      <w:r w:rsidRPr="00571DD3">
        <w:rPr>
          <w:rFonts w:ascii="Arial" w:hAnsi="Arial" w:cs="Arial"/>
          <w:color w:val="010000"/>
          <w:sz w:val="20"/>
        </w:rPr>
        <w:t>Share code: BWS</w:t>
      </w:r>
    </w:p>
    <w:p w14:paraId="00000006" w14:textId="77777777" w:rsidR="003F4870" w:rsidRPr="00571DD3" w:rsidRDefault="002D1B1A" w:rsidP="006312DF">
      <w:pPr>
        <w:numPr>
          <w:ilvl w:val="0"/>
          <w:numId w:val="2"/>
        </w:numPr>
        <w:pBdr>
          <w:top w:val="nil"/>
          <w:left w:val="nil"/>
          <w:bottom w:val="nil"/>
          <w:right w:val="nil"/>
          <w:between w:val="nil"/>
        </w:pBdr>
        <w:tabs>
          <w:tab w:val="left" w:pos="432"/>
          <w:tab w:val="left" w:pos="969"/>
          <w:tab w:val="left" w:pos="4831"/>
        </w:tabs>
        <w:spacing w:after="120" w:line="360" w:lineRule="auto"/>
        <w:jc w:val="both"/>
        <w:rPr>
          <w:rFonts w:ascii="Arial" w:eastAsia="Arial" w:hAnsi="Arial" w:cs="Arial"/>
          <w:color w:val="010000"/>
          <w:sz w:val="20"/>
          <w:szCs w:val="20"/>
        </w:rPr>
      </w:pPr>
      <w:r w:rsidRPr="00571DD3">
        <w:rPr>
          <w:rFonts w:ascii="Arial" w:hAnsi="Arial" w:cs="Arial"/>
          <w:color w:val="010000"/>
          <w:sz w:val="20"/>
        </w:rPr>
        <w:t>Share type: common shares</w:t>
      </w:r>
    </w:p>
    <w:p w14:paraId="00000007" w14:textId="77777777" w:rsidR="003F4870" w:rsidRPr="00571DD3" w:rsidRDefault="002D1B1A" w:rsidP="006312DF">
      <w:pPr>
        <w:numPr>
          <w:ilvl w:val="0"/>
          <w:numId w:val="2"/>
        </w:numPr>
        <w:pBdr>
          <w:top w:val="nil"/>
          <w:left w:val="nil"/>
          <w:bottom w:val="nil"/>
          <w:right w:val="nil"/>
          <w:between w:val="nil"/>
        </w:pBdr>
        <w:tabs>
          <w:tab w:val="left" w:pos="432"/>
          <w:tab w:val="left" w:pos="976"/>
          <w:tab w:val="left" w:pos="4831"/>
        </w:tabs>
        <w:spacing w:after="120" w:line="360" w:lineRule="auto"/>
        <w:jc w:val="both"/>
        <w:rPr>
          <w:rFonts w:ascii="Arial" w:eastAsia="Arial" w:hAnsi="Arial" w:cs="Arial"/>
          <w:color w:val="010000"/>
          <w:sz w:val="20"/>
          <w:szCs w:val="20"/>
        </w:rPr>
      </w:pPr>
      <w:r w:rsidRPr="00571DD3">
        <w:rPr>
          <w:rFonts w:ascii="Arial" w:hAnsi="Arial" w:cs="Arial"/>
          <w:color w:val="010000"/>
          <w:sz w:val="20"/>
        </w:rPr>
        <w:t>Share par value: VND10,000/share</w:t>
      </w:r>
    </w:p>
    <w:p w14:paraId="00000008" w14:textId="77777777" w:rsidR="003F4870" w:rsidRPr="00571DD3" w:rsidRDefault="002D1B1A" w:rsidP="006312DF">
      <w:pPr>
        <w:numPr>
          <w:ilvl w:val="0"/>
          <w:numId w:val="2"/>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shares before issuance:</w:t>
      </w:r>
    </w:p>
    <w:p w14:paraId="00000009" w14:textId="77777777" w:rsidR="003F4870" w:rsidRPr="00571DD3" w:rsidRDefault="002D1B1A" w:rsidP="006312DF">
      <w:pPr>
        <w:numPr>
          <w:ilvl w:val="0"/>
          <w:numId w:val="1"/>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571DD3">
        <w:rPr>
          <w:rFonts w:ascii="Arial" w:hAnsi="Arial" w:cs="Arial"/>
          <w:color w:val="010000"/>
          <w:sz w:val="20"/>
        </w:rPr>
        <w:t>Total number of issued shares: 90,000,000 shares</w:t>
      </w:r>
    </w:p>
    <w:p w14:paraId="0000000A" w14:textId="77777777" w:rsidR="003F4870" w:rsidRPr="00571DD3" w:rsidRDefault="002D1B1A" w:rsidP="006312DF">
      <w:pPr>
        <w:numPr>
          <w:ilvl w:val="0"/>
          <w:numId w:val="1"/>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outstanding shares: 90,000,000 shares</w:t>
      </w:r>
    </w:p>
    <w:p w14:paraId="0000000B" w14:textId="77777777" w:rsidR="003F4870" w:rsidRPr="00571DD3" w:rsidRDefault="002D1B1A" w:rsidP="006312DF">
      <w:pPr>
        <w:numPr>
          <w:ilvl w:val="0"/>
          <w:numId w:val="1"/>
        </w:numPr>
        <w:pBdr>
          <w:top w:val="nil"/>
          <w:left w:val="nil"/>
          <w:bottom w:val="nil"/>
          <w:right w:val="nil"/>
          <w:between w:val="nil"/>
        </w:pBdr>
        <w:tabs>
          <w:tab w:val="left" w:pos="432"/>
          <w:tab w:val="left" w:pos="960"/>
          <w:tab w:val="right" w:pos="4877"/>
          <w:tab w:val="left" w:pos="5080"/>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treasury shares: 0 shares</w:t>
      </w:r>
    </w:p>
    <w:p w14:paraId="0000000C" w14:textId="77777777" w:rsidR="003F4870" w:rsidRPr="00571DD3" w:rsidRDefault="002D1B1A" w:rsidP="006312DF">
      <w:pPr>
        <w:numPr>
          <w:ilvl w:val="0"/>
          <w:numId w:val="2"/>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shares expected to be issued: 10,008,000 shares</w:t>
      </w:r>
    </w:p>
    <w:p w14:paraId="0000000D" w14:textId="77777777" w:rsidR="003F4870" w:rsidRPr="00571DD3" w:rsidRDefault="002D1B1A" w:rsidP="006312DF">
      <w:pPr>
        <w:numPr>
          <w:ilvl w:val="0"/>
          <w:numId w:val="2"/>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issued shares:</w:t>
      </w:r>
    </w:p>
    <w:p w14:paraId="0000000E"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shares distributed to shareholders according to the rate: 10,007,569 shares to 850 shareholders;</w:t>
      </w:r>
    </w:p>
    <w:p w14:paraId="0000000F" w14:textId="4E0016CC"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Handling of fractional shares: </w:t>
      </w:r>
      <w:r w:rsidR="00571DD3" w:rsidRPr="00571DD3">
        <w:rPr>
          <w:rFonts w:ascii="Arial" w:hAnsi="Arial" w:cs="Arial"/>
          <w:color w:val="010000"/>
          <w:sz w:val="20"/>
        </w:rPr>
        <w:t>The number</w:t>
      </w:r>
      <w:r w:rsidRPr="00571DD3">
        <w:rPr>
          <w:rFonts w:ascii="Arial" w:hAnsi="Arial" w:cs="Arial"/>
          <w:color w:val="010000"/>
          <w:sz w:val="20"/>
        </w:rPr>
        <w:t xml:space="preserve"> of fractional </w:t>
      </w:r>
      <w:r w:rsidR="00571DD3" w:rsidRPr="00571DD3">
        <w:rPr>
          <w:rFonts w:ascii="Arial" w:hAnsi="Arial" w:cs="Arial"/>
          <w:color w:val="010000"/>
          <w:sz w:val="20"/>
        </w:rPr>
        <w:t>shares</w:t>
      </w:r>
      <w:r w:rsidRPr="00571DD3">
        <w:rPr>
          <w:rFonts w:ascii="Arial" w:hAnsi="Arial" w:cs="Arial"/>
          <w:color w:val="010000"/>
          <w:sz w:val="20"/>
        </w:rPr>
        <w:t xml:space="preserve"> </w:t>
      </w:r>
      <w:r w:rsidR="00571DD3" w:rsidRPr="00571DD3">
        <w:rPr>
          <w:rFonts w:ascii="Arial" w:hAnsi="Arial" w:cs="Arial" w:hint="eastAsia"/>
          <w:color w:val="010000"/>
          <w:sz w:val="20"/>
        </w:rPr>
        <w:t>incurring</w:t>
      </w:r>
      <w:r w:rsidRPr="00571DD3">
        <w:rPr>
          <w:rFonts w:ascii="Arial" w:hAnsi="Arial" w:cs="Arial"/>
          <w:color w:val="010000"/>
          <w:sz w:val="20"/>
        </w:rPr>
        <w:t xml:space="preserve"> due to rounding to the nearest unit of 431 shares </w:t>
      </w:r>
      <w:r w:rsidR="00571DD3" w:rsidRPr="00571DD3">
        <w:rPr>
          <w:rFonts w:ascii="Arial" w:hAnsi="Arial" w:cs="Arial" w:hint="eastAsia"/>
          <w:color w:val="010000"/>
          <w:sz w:val="20"/>
        </w:rPr>
        <w:t xml:space="preserve">were </w:t>
      </w:r>
      <w:r w:rsidRPr="00571DD3">
        <w:rPr>
          <w:rFonts w:ascii="Arial" w:hAnsi="Arial" w:cs="Arial"/>
          <w:color w:val="010000"/>
          <w:sz w:val="20"/>
        </w:rPr>
        <w:t>canceled.</w:t>
      </w:r>
    </w:p>
    <w:p w14:paraId="00000010" w14:textId="77777777" w:rsidR="003F4870" w:rsidRPr="00571DD3" w:rsidRDefault="002D1B1A" w:rsidP="006312DF">
      <w:pPr>
        <w:numPr>
          <w:ilvl w:val="0"/>
          <w:numId w:val="2"/>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571DD3">
        <w:rPr>
          <w:rFonts w:ascii="Arial" w:hAnsi="Arial" w:cs="Arial"/>
          <w:color w:val="010000"/>
          <w:sz w:val="20"/>
        </w:rPr>
        <w:t>Total number of shares after the issuance (on July 05, 2024): 100,007,569 shares, in which:</w:t>
      </w:r>
    </w:p>
    <w:p w14:paraId="00000011"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outstanding shares: 100,007,569 shares;</w:t>
      </w:r>
    </w:p>
    <w:p w14:paraId="00000012"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Number of treasury shares: 0 shares.</w:t>
      </w:r>
    </w:p>
    <w:p w14:paraId="00000013" w14:textId="77777777" w:rsidR="003F4870" w:rsidRPr="00571DD3" w:rsidRDefault="002D1B1A" w:rsidP="006312DF">
      <w:pPr>
        <w:numPr>
          <w:ilvl w:val="0"/>
          <w:numId w:val="2"/>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Expected date for share transfer: Q3/2024.</w:t>
      </w:r>
    </w:p>
    <w:p w14:paraId="00000014" w14:textId="77777777"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‎‎Article 2. Register with the Department of Planning and Investment to change the company’s charter capital</w:t>
      </w:r>
    </w:p>
    <w:p w14:paraId="00000015"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Registered charter capital: VND900,000,000,000</w:t>
      </w:r>
    </w:p>
    <w:p w14:paraId="00000016"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Charter capital after changing: VND1,000,075,690,000</w:t>
      </w:r>
    </w:p>
    <w:p w14:paraId="00000017" w14:textId="77777777"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Time to change the capital: July 05, 2024.</w:t>
      </w:r>
    </w:p>
    <w:p w14:paraId="00000018" w14:textId="74775D5C" w:rsidR="003F4870" w:rsidRPr="00571DD3" w:rsidRDefault="002D1B1A" w:rsidP="006312DF">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571DD3">
        <w:rPr>
          <w:rFonts w:ascii="Arial" w:hAnsi="Arial" w:cs="Arial"/>
          <w:color w:val="010000"/>
          <w:sz w:val="20"/>
        </w:rPr>
        <w:t>Form of capital increase: Issue 10,007,569 shares, par value: VND10</w:t>
      </w:r>
      <w:proofErr w:type="gramStart"/>
      <w:r w:rsidRPr="00571DD3">
        <w:rPr>
          <w:rFonts w:ascii="Arial" w:hAnsi="Arial" w:cs="Arial"/>
          <w:color w:val="010000"/>
          <w:sz w:val="20"/>
        </w:rPr>
        <w:t>,000</w:t>
      </w:r>
      <w:proofErr w:type="gramEnd"/>
      <w:r w:rsidRPr="00571DD3">
        <w:rPr>
          <w:rFonts w:ascii="Arial" w:hAnsi="Arial" w:cs="Arial"/>
          <w:color w:val="010000"/>
          <w:sz w:val="20"/>
        </w:rPr>
        <w:t xml:space="preserve">/share to increase charter capital from </w:t>
      </w:r>
      <w:r w:rsidR="00571DD3" w:rsidRPr="00571DD3">
        <w:rPr>
          <w:rFonts w:ascii="Arial" w:hAnsi="Arial" w:cs="Arial"/>
          <w:color w:val="010000"/>
          <w:sz w:val="20"/>
        </w:rPr>
        <w:t xml:space="preserve">the </w:t>
      </w:r>
      <w:r w:rsidRPr="00571DD3">
        <w:rPr>
          <w:rFonts w:ascii="Arial" w:hAnsi="Arial" w:cs="Arial"/>
          <w:color w:val="010000"/>
          <w:sz w:val="20"/>
        </w:rPr>
        <w:t>source of owners’ equity.</w:t>
      </w:r>
    </w:p>
    <w:p w14:paraId="00000019" w14:textId="4098E47D"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‎‎Article 3. </w:t>
      </w:r>
      <w:r w:rsidR="00571DD3" w:rsidRPr="00571DD3">
        <w:rPr>
          <w:rFonts w:ascii="Arial" w:hAnsi="Arial" w:cs="Arial" w:hint="eastAsia"/>
          <w:color w:val="010000"/>
          <w:sz w:val="20"/>
        </w:rPr>
        <w:t>Adjust</w:t>
      </w:r>
      <w:r w:rsidRPr="00571DD3">
        <w:rPr>
          <w:rFonts w:ascii="Arial" w:hAnsi="Arial" w:cs="Arial"/>
          <w:color w:val="010000"/>
          <w:sz w:val="20"/>
        </w:rPr>
        <w:t xml:space="preserve"> the content of charter capital in Clause 1, Article 6 of the Company's Charter. Contents </w:t>
      </w:r>
      <w:r w:rsidRPr="00571DD3">
        <w:rPr>
          <w:rFonts w:ascii="Arial" w:hAnsi="Arial" w:cs="Arial"/>
          <w:color w:val="010000"/>
          <w:sz w:val="20"/>
        </w:rPr>
        <w:lastRenderedPageBreak/>
        <w:t xml:space="preserve">after </w:t>
      </w:r>
      <w:r w:rsidR="00571DD3" w:rsidRPr="00571DD3">
        <w:rPr>
          <w:rFonts w:ascii="Arial" w:hAnsi="Arial" w:cs="Arial" w:hint="eastAsia"/>
          <w:color w:val="010000"/>
          <w:sz w:val="20"/>
        </w:rPr>
        <w:t>the adjustment</w:t>
      </w:r>
      <w:r w:rsidRPr="00571DD3">
        <w:rPr>
          <w:rFonts w:ascii="Arial" w:hAnsi="Arial" w:cs="Arial"/>
          <w:color w:val="010000"/>
          <w:sz w:val="20"/>
        </w:rPr>
        <w:t>: “Company’s Charter Capital of VND1</w:t>
      </w:r>
      <w:proofErr w:type="gramStart"/>
      <w:r w:rsidRPr="00571DD3">
        <w:rPr>
          <w:rFonts w:ascii="Arial" w:hAnsi="Arial" w:cs="Arial"/>
          <w:color w:val="010000"/>
          <w:sz w:val="20"/>
        </w:rPr>
        <w:t>,000,075,690</w:t>
      </w:r>
      <w:proofErr w:type="gramEnd"/>
      <w:r w:rsidRPr="00571DD3">
        <w:rPr>
          <w:rFonts w:ascii="Arial" w:hAnsi="Arial" w:cs="Arial"/>
          <w:color w:val="010000"/>
          <w:sz w:val="20"/>
        </w:rPr>
        <w:t xml:space="preserve">. </w:t>
      </w:r>
      <w:r w:rsidR="00571DD3" w:rsidRPr="00571DD3">
        <w:rPr>
          <w:rFonts w:ascii="Arial" w:hAnsi="Arial" w:cs="Arial"/>
          <w:color w:val="010000"/>
          <w:sz w:val="20"/>
        </w:rPr>
        <w:t>The total</w:t>
      </w:r>
      <w:r w:rsidRPr="00571DD3">
        <w:rPr>
          <w:rFonts w:ascii="Arial" w:hAnsi="Arial" w:cs="Arial"/>
          <w:color w:val="010000"/>
          <w:sz w:val="20"/>
        </w:rPr>
        <w:t xml:space="preserve"> charter capital of the company is divided into 100,007,569 </w:t>
      </w:r>
      <w:r w:rsidR="00571DD3" w:rsidRPr="00571DD3">
        <w:rPr>
          <w:rFonts w:ascii="Arial" w:hAnsi="Arial" w:cs="Arial"/>
          <w:color w:val="010000"/>
          <w:sz w:val="20"/>
        </w:rPr>
        <w:t>shares</w:t>
      </w:r>
      <w:r w:rsidRPr="00571DD3">
        <w:rPr>
          <w:rFonts w:ascii="Arial" w:hAnsi="Arial" w:cs="Arial"/>
          <w:color w:val="010000"/>
          <w:sz w:val="20"/>
        </w:rPr>
        <w:t xml:space="preserve"> at </w:t>
      </w:r>
      <w:r w:rsidR="006312DF">
        <w:rPr>
          <w:rFonts w:ascii="Arial" w:hAnsi="Arial" w:cs="Arial"/>
          <w:color w:val="010000"/>
          <w:sz w:val="20"/>
        </w:rPr>
        <w:t xml:space="preserve">a </w:t>
      </w:r>
      <w:bookmarkStart w:id="0" w:name="_GoBack"/>
      <w:bookmarkEnd w:id="0"/>
      <w:r w:rsidRPr="00571DD3">
        <w:rPr>
          <w:rFonts w:ascii="Arial" w:hAnsi="Arial" w:cs="Arial"/>
          <w:color w:val="010000"/>
          <w:sz w:val="20"/>
        </w:rPr>
        <w:t>par value of VND10</w:t>
      </w:r>
      <w:proofErr w:type="gramStart"/>
      <w:r w:rsidRPr="00571DD3">
        <w:rPr>
          <w:rFonts w:ascii="Arial" w:hAnsi="Arial" w:cs="Arial"/>
          <w:color w:val="010000"/>
          <w:sz w:val="20"/>
        </w:rPr>
        <w:t>,000</w:t>
      </w:r>
      <w:proofErr w:type="gramEnd"/>
      <w:r w:rsidRPr="00571DD3">
        <w:rPr>
          <w:rFonts w:ascii="Arial" w:hAnsi="Arial" w:cs="Arial"/>
          <w:color w:val="010000"/>
          <w:sz w:val="20"/>
        </w:rPr>
        <w:t>/share”</w:t>
      </w:r>
    </w:p>
    <w:p w14:paraId="0000001A" w14:textId="77777777"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‎‎Article 4. Mr. Nguyen Luong </w:t>
      </w:r>
      <w:proofErr w:type="spellStart"/>
      <w:r w:rsidRPr="00571DD3">
        <w:rPr>
          <w:rFonts w:ascii="Arial" w:hAnsi="Arial" w:cs="Arial"/>
          <w:color w:val="010000"/>
          <w:sz w:val="20"/>
        </w:rPr>
        <w:t>Dien</w:t>
      </w:r>
      <w:proofErr w:type="spellEnd"/>
      <w:r w:rsidRPr="00571DD3">
        <w:rPr>
          <w:rFonts w:ascii="Arial" w:hAnsi="Arial" w:cs="Arial"/>
          <w:color w:val="010000"/>
          <w:sz w:val="20"/>
        </w:rPr>
        <w:t xml:space="preserve"> - the legal representative of the Company and functional departments implement procedures to change the Business Registration Certificate, Securities Registration Certificate, and additional trading registration for additional issued shares according to the new charter capital.</w:t>
      </w:r>
    </w:p>
    <w:p w14:paraId="0000001B" w14:textId="177B8D83" w:rsidR="003F4870" w:rsidRPr="00571DD3" w:rsidRDefault="002D1B1A" w:rsidP="006312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DD3">
        <w:rPr>
          <w:rFonts w:ascii="Arial" w:hAnsi="Arial" w:cs="Arial"/>
          <w:color w:val="010000"/>
          <w:sz w:val="20"/>
        </w:rPr>
        <w:t xml:space="preserve">‎‎Article 5. This Resolution takes effect from the date of its signing. Members of the Board of Directors, the Supervisory Board, the Board of Management, and </w:t>
      </w:r>
      <w:r w:rsidR="00571DD3" w:rsidRPr="00571DD3">
        <w:rPr>
          <w:rFonts w:ascii="Arial" w:hAnsi="Arial" w:cs="Arial"/>
          <w:color w:val="010000"/>
          <w:sz w:val="20"/>
        </w:rPr>
        <w:t>affiliated</w:t>
      </w:r>
      <w:r w:rsidRPr="00571DD3">
        <w:rPr>
          <w:rFonts w:ascii="Arial" w:hAnsi="Arial" w:cs="Arial"/>
          <w:color w:val="010000"/>
          <w:sz w:val="20"/>
        </w:rPr>
        <w:t xml:space="preserve"> individuals are responsible for the implementation of this Resolution.</w:t>
      </w:r>
    </w:p>
    <w:sectPr w:rsidR="003F4870" w:rsidRPr="00571DD3" w:rsidSect="00571DD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C52"/>
    <w:multiLevelType w:val="multilevel"/>
    <w:tmpl w:val="896C58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2615DA"/>
    <w:multiLevelType w:val="multilevel"/>
    <w:tmpl w:val="1272E5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70"/>
    <w:rsid w:val="002D1B1A"/>
    <w:rsid w:val="003F4870"/>
    <w:rsid w:val="00455338"/>
    <w:rsid w:val="00571DD3"/>
    <w:rsid w:val="006312DF"/>
    <w:rsid w:val="009E6C45"/>
    <w:rsid w:val="00EE4AD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E7991"/>
  <w15:docId w15:val="{F5FBEDF0-55A2-4F55-A113-7C5DDDF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ind w:left="570"/>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line="233" w:lineRule="auto"/>
      <w:ind w:left="1110"/>
      <w:jc w:val="center"/>
    </w:pPr>
    <w:rPr>
      <w:rFonts w:ascii="Arial" w:eastAsia="Arial" w:hAnsi="Arial" w:cs="Arial"/>
      <w:sz w:val="18"/>
      <w:szCs w:val="18"/>
    </w:rPr>
  </w:style>
  <w:style w:type="paragraph" w:customStyle="1" w:styleId="Bodytext20">
    <w:name w:val="Body text (2)"/>
    <w:basedOn w:val="Normal"/>
    <w:link w:val="Bodytext2"/>
    <w:pPr>
      <w:spacing w:line="233" w:lineRule="auto"/>
      <w:ind w:left="1430" w:firstLine="10"/>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B1GD3xEW6hhY0F4xtb84dWpsiw==">CgMxLjA4AHIhMUNOUVJpRHRUX29WRWFmckJmbG5aSGdxOFlGRkh3SzFa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2108</Characters>
  <Application>Microsoft Office Word</Application>
  <DocSecurity>0</DocSecurity>
  <Lines>40</Lines>
  <Paragraphs>31</Paragraphs>
  <ScaleCrop>false</ScaleCrop>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2024-07-16T03:31:00Z</dcterms:created>
  <dcterms:modified xsi:type="dcterms:W3CDTF">2024-07-17T04:12:00Z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cc8da9b35389980b1c70c0e0dfbfffa4ebb30fcc5cb0a917271fd4aec0c6c9b0</vt:lpwstr>
  </property>
</Properties>
</file>