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3CED4AD" w:rsidR="00010493" w:rsidRPr="00A46CF7" w:rsidRDefault="00366FE2" w:rsidP="001C3883">
      <w:pPr>
        <w:pBdr>
          <w:top w:val="nil"/>
          <w:left w:val="nil"/>
          <w:bottom w:val="nil"/>
          <w:right w:val="nil"/>
          <w:between w:val="nil"/>
        </w:pBdr>
        <w:tabs>
          <w:tab w:val="left" w:pos="432"/>
        </w:tabs>
        <w:spacing w:after="120" w:line="360" w:lineRule="auto"/>
        <w:jc w:val="both"/>
        <w:rPr>
          <w:rFonts w:ascii="Arial" w:hAnsi="Arial" w:cs="Arial"/>
          <w:b/>
          <w:color w:val="010000"/>
          <w:sz w:val="20"/>
          <w:szCs w:val="20"/>
        </w:rPr>
      </w:pPr>
      <w:r w:rsidRPr="00A46CF7">
        <w:rPr>
          <w:rFonts w:ascii="Arial" w:hAnsi="Arial" w:cs="Arial"/>
          <w:b/>
          <w:color w:val="010000"/>
          <w:sz w:val="20"/>
        </w:rPr>
        <w:t>BWS: Report on the results</w:t>
      </w:r>
      <w:r w:rsidRPr="00A46CF7">
        <w:rPr>
          <w:rFonts w:ascii="Arial" w:hAnsi="Arial" w:cs="Arial" w:hint="eastAsia"/>
          <w:b/>
          <w:color w:val="010000"/>
          <w:sz w:val="20"/>
        </w:rPr>
        <w:t xml:space="preserve"> </w:t>
      </w:r>
      <w:r>
        <w:rPr>
          <w:rFonts w:ascii="Arial" w:hAnsi="Arial" w:cs="Arial"/>
          <w:b/>
          <w:color w:val="010000"/>
          <w:sz w:val="20"/>
        </w:rPr>
        <w:t xml:space="preserve">of the </w:t>
      </w:r>
      <w:r w:rsidRPr="00A46CF7">
        <w:rPr>
          <w:rFonts w:ascii="Arial" w:hAnsi="Arial" w:cs="Arial"/>
          <w:b/>
          <w:color w:val="010000"/>
          <w:sz w:val="20"/>
        </w:rPr>
        <w:t xml:space="preserve">share issuance </w:t>
      </w:r>
      <w:r>
        <w:rPr>
          <w:rFonts w:ascii="Arial" w:hAnsi="Arial" w:cs="Arial"/>
          <w:b/>
          <w:color w:val="010000"/>
          <w:sz w:val="20"/>
        </w:rPr>
        <w:t>to increase share capital from the source of owners’ equity</w:t>
      </w:r>
    </w:p>
    <w:p w14:paraId="00000002" w14:textId="05395F33" w:rsidR="00010493" w:rsidRPr="00A46CF7" w:rsidRDefault="00366FE2" w:rsidP="001C388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46CF7">
        <w:rPr>
          <w:rFonts w:ascii="Arial" w:hAnsi="Arial" w:cs="Arial"/>
          <w:color w:val="010000"/>
          <w:sz w:val="20"/>
        </w:rPr>
        <w:t xml:space="preserve">On July 11, 2024, Ba </w:t>
      </w:r>
      <w:proofErr w:type="spellStart"/>
      <w:r w:rsidRPr="00A46CF7">
        <w:rPr>
          <w:rFonts w:ascii="Arial" w:hAnsi="Arial" w:cs="Arial"/>
          <w:color w:val="010000"/>
          <w:sz w:val="20"/>
        </w:rPr>
        <w:t>Ria</w:t>
      </w:r>
      <w:proofErr w:type="spellEnd"/>
      <w:r w:rsidRPr="00A46CF7">
        <w:rPr>
          <w:rFonts w:ascii="Arial" w:hAnsi="Arial" w:cs="Arial"/>
          <w:color w:val="010000"/>
          <w:sz w:val="20"/>
        </w:rPr>
        <w:t xml:space="preserve"> - </w:t>
      </w:r>
      <w:proofErr w:type="spellStart"/>
      <w:r w:rsidRPr="00A46CF7">
        <w:rPr>
          <w:rFonts w:ascii="Arial" w:hAnsi="Arial" w:cs="Arial"/>
          <w:color w:val="010000"/>
          <w:sz w:val="20"/>
        </w:rPr>
        <w:t>Vung</w:t>
      </w:r>
      <w:proofErr w:type="spellEnd"/>
      <w:r w:rsidRPr="00A46CF7">
        <w:rPr>
          <w:rFonts w:ascii="Arial" w:hAnsi="Arial" w:cs="Arial"/>
          <w:color w:val="010000"/>
          <w:sz w:val="20"/>
        </w:rPr>
        <w:t xml:space="preserve"> Tau Water Supply Joint Stock Company announced Report No. 28/BC-CN on the results of the share issuance to increase share capital from </w:t>
      </w:r>
      <w:r>
        <w:rPr>
          <w:rFonts w:ascii="Arial" w:hAnsi="Arial" w:cs="Arial"/>
          <w:color w:val="010000"/>
          <w:sz w:val="20"/>
        </w:rPr>
        <w:t xml:space="preserve">the source of </w:t>
      </w:r>
      <w:proofErr w:type="spellStart"/>
      <w:r>
        <w:rPr>
          <w:rFonts w:ascii="Arial" w:hAnsi="Arial" w:cs="Arial"/>
          <w:color w:val="010000"/>
          <w:sz w:val="20"/>
        </w:rPr>
        <w:t>owner</w:t>
      </w:r>
      <w:r w:rsidRPr="00A46CF7">
        <w:rPr>
          <w:rFonts w:ascii="Arial" w:hAnsi="Arial" w:cs="Arial"/>
          <w:color w:val="010000"/>
          <w:sz w:val="20"/>
        </w:rPr>
        <w:t>s</w:t>
      </w:r>
      <w:r>
        <w:rPr>
          <w:rFonts w:ascii="Arial" w:hAnsi="Arial" w:cs="Arial"/>
          <w:color w:val="010000"/>
          <w:sz w:val="20"/>
        </w:rPr>
        <w:t>’s</w:t>
      </w:r>
      <w:proofErr w:type="spellEnd"/>
      <w:r w:rsidRPr="00A46CF7">
        <w:rPr>
          <w:rFonts w:ascii="Arial" w:hAnsi="Arial" w:cs="Arial"/>
          <w:color w:val="010000"/>
          <w:sz w:val="20"/>
        </w:rPr>
        <w:t xml:space="preserve"> equity as follows:</w:t>
      </w:r>
    </w:p>
    <w:p w14:paraId="00000003" w14:textId="77777777" w:rsidR="00010493" w:rsidRPr="00A46CF7" w:rsidRDefault="00366FE2" w:rsidP="001C3883">
      <w:pPr>
        <w:numPr>
          <w:ilvl w:val="0"/>
          <w:numId w:val="3"/>
        </w:numPr>
        <w:pBdr>
          <w:top w:val="nil"/>
          <w:left w:val="nil"/>
          <w:bottom w:val="nil"/>
          <w:right w:val="nil"/>
          <w:between w:val="nil"/>
        </w:pBdr>
        <w:tabs>
          <w:tab w:val="left" w:pos="445"/>
        </w:tabs>
        <w:spacing w:after="120" w:line="360" w:lineRule="auto"/>
        <w:jc w:val="both"/>
        <w:rPr>
          <w:rFonts w:ascii="Arial" w:eastAsia="Arial" w:hAnsi="Arial" w:cs="Arial"/>
          <w:color w:val="010000"/>
          <w:sz w:val="20"/>
          <w:szCs w:val="20"/>
        </w:rPr>
      </w:pPr>
      <w:r w:rsidRPr="00A46CF7">
        <w:rPr>
          <w:rFonts w:ascii="Arial" w:hAnsi="Arial" w:cs="Arial"/>
          <w:color w:val="010000"/>
          <w:sz w:val="20"/>
        </w:rPr>
        <w:t>Plan on issuance</w:t>
      </w:r>
    </w:p>
    <w:p w14:paraId="00000004" w14:textId="77777777" w:rsidR="00010493" w:rsidRPr="00A46CF7" w:rsidRDefault="00366FE2" w:rsidP="001C3883">
      <w:pPr>
        <w:numPr>
          <w:ilvl w:val="0"/>
          <w:numId w:val="4"/>
        </w:numPr>
        <w:pBdr>
          <w:top w:val="nil"/>
          <w:left w:val="nil"/>
          <w:bottom w:val="nil"/>
          <w:right w:val="nil"/>
          <w:between w:val="nil"/>
        </w:pBdr>
        <w:tabs>
          <w:tab w:val="left" w:pos="436"/>
        </w:tabs>
        <w:spacing w:after="120" w:line="360" w:lineRule="auto"/>
        <w:jc w:val="both"/>
        <w:rPr>
          <w:rFonts w:ascii="Arial" w:eastAsia="Arial" w:hAnsi="Arial" w:cs="Arial"/>
          <w:color w:val="010000"/>
          <w:sz w:val="20"/>
          <w:szCs w:val="20"/>
        </w:rPr>
      </w:pPr>
      <w:r w:rsidRPr="00A46CF7">
        <w:rPr>
          <w:rFonts w:ascii="Arial" w:hAnsi="Arial" w:cs="Arial"/>
          <w:color w:val="010000"/>
          <w:sz w:val="20"/>
        </w:rPr>
        <w:t xml:space="preserve">Share name: Shares of Ba </w:t>
      </w:r>
      <w:proofErr w:type="spellStart"/>
      <w:r w:rsidRPr="00A46CF7">
        <w:rPr>
          <w:rFonts w:ascii="Arial" w:hAnsi="Arial" w:cs="Arial"/>
          <w:color w:val="010000"/>
          <w:sz w:val="20"/>
        </w:rPr>
        <w:t>Ria</w:t>
      </w:r>
      <w:proofErr w:type="spellEnd"/>
      <w:r w:rsidRPr="00A46CF7">
        <w:rPr>
          <w:rFonts w:ascii="Arial" w:hAnsi="Arial" w:cs="Arial"/>
          <w:color w:val="010000"/>
          <w:sz w:val="20"/>
        </w:rPr>
        <w:t xml:space="preserve"> - </w:t>
      </w:r>
      <w:proofErr w:type="spellStart"/>
      <w:r w:rsidRPr="00A46CF7">
        <w:rPr>
          <w:rFonts w:ascii="Arial" w:hAnsi="Arial" w:cs="Arial"/>
          <w:color w:val="010000"/>
          <w:sz w:val="20"/>
        </w:rPr>
        <w:t>Vung</w:t>
      </w:r>
      <w:proofErr w:type="spellEnd"/>
      <w:r w:rsidRPr="00A46CF7">
        <w:rPr>
          <w:rFonts w:ascii="Arial" w:hAnsi="Arial" w:cs="Arial"/>
          <w:color w:val="010000"/>
          <w:sz w:val="20"/>
        </w:rPr>
        <w:t xml:space="preserve"> Tau Water Supply Joint Stock Company</w:t>
      </w:r>
    </w:p>
    <w:p w14:paraId="00000005" w14:textId="58ADC2BA" w:rsidR="00010493" w:rsidRPr="00A46CF7" w:rsidRDefault="00366FE2" w:rsidP="001C3883">
      <w:pPr>
        <w:numPr>
          <w:ilvl w:val="0"/>
          <w:numId w:val="4"/>
        </w:numPr>
        <w:pBdr>
          <w:top w:val="nil"/>
          <w:left w:val="nil"/>
          <w:bottom w:val="nil"/>
          <w:right w:val="nil"/>
          <w:between w:val="nil"/>
        </w:pBdr>
        <w:tabs>
          <w:tab w:val="left" w:pos="436"/>
          <w:tab w:val="left" w:pos="5064"/>
        </w:tabs>
        <w:spacing w:after="120" w:line="360" w:lineRule="auto"/>
        <w:jc w:val="both"/>
        <w:rPr>
          <w:rFonts w:ascii="Arial" w:eastAsia="Arial" w:hAnsi="Arial" w:cs="Arial"/>
          <w:color w:val="010000"/>
          <w:sz w:val="20"/>
          <w:szCs w:val="20"/>
        </w:rPr>
      </w:pPr>
      <w:r w:rsidRPr="00A46CF7">
        <w:rPr>
          <w:rFonts w:ascii="Arial" w:hAnsi="Arial" w:cs="Arial"/>
          <w:color w:val="010000"/>
          <w:sz w:val="20"/>
        </w:rPr>
        <w:t>Share type: Common share</w:t>
      </w:r>
      <w:r w:rsidR="000E37E7" w:rsidRPr="00A46CF7">
        <w:rPr>
          <w:rFonts w:ascii="Arial" w:hAnsi="Arial" w:cs="Arial" w:hint="eastAsia"/>
          <w:color w:val="010000"/>
          <w:sz w:val="20"/>
        </w:rPr>
        <w:t>s</w:t>
      </w:r>
    </w:p>
    <w:p w14:paraId="00000006" w14:textId="77777777" w:rsidR="00010493" w:rsidRPr="00A46CF7" w:rsidRDefault="00366FE2" w:rsidP="001C3883">
      <w:pPr>
        <w:numPr>
          <w:ilvl w:val="0"/>
          <w:numId w:val="4"/>
        </w:numPr>
        <w:pBdr>
          <w:top w:val="nil"/>
          <w:left w:val="nil"/>
          <w:bottom w:val="nil"/>
          <w:right w:val="nil"/>
          <w:between w:val="nil"/>
        </w:pBdr>
        <w:tabs>
          <w:tab w:val="left" w:pos="436"/>
        </w:tabs>
        <w:spacing w:after="120" w:line="360" w:lineRule="auto"/>
        <w:jc w:val="both"/>
        <w:rPr>
          <w:rFonts w:ascii="Arial" w:eastAsia="Arial" w:hAnsi="Arial" w:cs="Arial"/>
          <w:color w:val="010000"/>
          <w:sz w:val="20"/>
          <w:szCs w:val="20"/>
        </w:rPr>
      </w:pPr>
      <w:r w:rsidRPr="00A46CF7">
        <w:rPr>
          <w:rFonts w:ascii="Arial" w:hAnsi="Arial" w:cs="Arial"/>
          <w:color w:val="010000"/>
          <w:sz w:val="20"/>
        </w:rPr>
        <w:t>Number of shares before issuance:</w:t>
      </w:r>
    </w:p>
    <w:p w14:paraId="00000007" w14:textId="77777777" w:rsidR="00010493" w:rsidRPr="00A46CF7" w:rsidRDefault="00366FE2" w:rsidP="001C3883">
      <w:pPr>
        <w:numPr>
          <w:ilvl w:val="0"/>
          <w:numId w:val="1"/>
        </w:numPr>
        <w:pBdr>
          <w:top w:val="nil"/>
          <w:left w:val="nil"/>
          <w:bottom w:val="nil"/>
          <w:right w:val="nil"/>
          <w:between w:val="nil"/>
        </w:pBdr>
        <w:tabs>
          <w:tab w:val="left" w:pos="432"/>
          <w:tab w:val="left" w:pos="856"/>
          <w:tab w:val="center" w:pos="4998"/>
          <w:tab w:val="left" w:pos="5190"/>
        </w:tabs>
        <w:spacing w:after="120" w:line="360" w:lineRule="auto"/>
        <w:jc w:val="both"/>
        <w:rPr>
          <w:rFonts w:ascii="Arial" w:eastAsia="Arial" w:hAnsi="Arial" w:cs="Arial"/>
          <w:color w:val="010000"/>
          <w:sz w:val="20"/>
          <w:szCs w:val="20"/>
        </w:rPr>
      </w:pPr>
      <w:r w:rsidRPr="00A46CF7">
        <w:rPr>
          <w:rFonts w:ascii="Arial" w:hAnsi="Arial" w:cs="Arial"/>
          <w:color w:val="010000"/>
          <w:sz w:val="20"/>
        </w:rPr>
        <w:t>Total number of issued shares: 90,000,000 shares</w:t>
      </w:r>
    </w:p>
    <w:p w14:paraId="00000008" w14:textId="77777777" w:rsidR="00010493" w:rsidRPr="00A46CF7" w:rsidRDefault="00366FE2" w:rsidP="001C3883">
      <w:pPr>
        <w:numPr>
          <w:ilvl w:val="0"/>
          <w:numId w:val="1"/>
        </w:numPr>
        <w:pBdr>
          <w:top w:val="nil"/>
          <w:left w:val="nil"/>
          <w:bottom w:val="nil"/>
          <w:right w:val="nil"/>
          <w:between w:val="nil"/>
        </w:pBdr>
        <w:tabs>
          <w:tab w:val="left" w:pos="432"/>
          <w:tab w:val="left" w:pos="856"/>
          <w:tab w:val="center" w:pos="4998"/>
          <w:tab w:val="left" w:pos="5186"/>
        </w:tabs>
        <w:spacing w:after="120" w:line="360" w:lineRule="auto"/>
        <w:jc w:val="both"/>
        <w:rPr>
          <w:rFonts w:ascii="Arial" w:eastAsia="Arial" w:hAnsi="Arial" w:cs="Arial"/>
          <w:color w:val="010000"/>
          <w:sz w:val="20"/>
          <w:szCs w:val="20"/>
        </w:rPr>
      </w:pPr>
      <w:r w:rsidRPr="00A46CF7">
        <w:rPr>
          <w:rFonts w:ascii="Arial" w:hAnsi="Arial" w:cs="Arial"/>
          <w:color w:val="010000"/>
          <w:sz w:val="20"/>
        </w:rPr>
        <w:t>Number of outstanding shares: 90,000,000 shares</w:t>
      </w:r>
    </w:p>
    <w:p w14:paraId="00000009" w14:textId="77777777" w:rsidR="00010493" w:rsidRPr="00A46CF7" w:rsidRDefault="00366FE2" w:rsidP="001C3883">
      <w:pPr>
        <w:numPr>
          <w:ilvl w:val="0"/>
          <w:numId w:val="1"/>
        </w:numPr>
        <w:pBdr>
          <w:top w:val="nil"/>
          <w:left w:val="nil"/>
          <w:bottom w:val="nil"/>
          <w:right w:val="nil"/>
          <w:between w:val="nil"/>
        </w:pBdr>
        <w:tabs>
          <w:tab w:val="left" w:pos="432"/>
          <w:tab w:val="left" w:pos="856"/>
          <w:tab w:val="center" w:pos="4998"/>
          <w:tab w:val="left" w:pos="5190"/>
        </w:tabs>
        <w:spacing w:after="120" w:line="360" w:lineRule="auto"/>
        <w:jc w:val="both"/>
        <w:rPr>
          <w:rFonts w:ascii="Arial" w:eastAsia="Arial" w:hAnsi="Arial" w:cs="Arial"/>
          <w:color w:val="010000"/>
          <w:sz w:val="20"/>
          <w:szCs w:val="20"/>
        </w:rPr>
      </w:pPr>
      <w:r w:rsidRPr="00A46CF7">
        <w:rPr>
          <w:rFonts w:ascii="Arial" w:hAnsi="Arial" w:cs="Arial"/>
          <w:color w:val="010000"/>
          <w:sz w:val="20"/>
        </w:rPr>
        <w:t>Number of treasury shares: 0 share</w:t>
      </w:r>
    </w:p>
    <w:p w14:paraId="0000000A" w14:textId="77777777" w:rsidR="00010493" w:rsidRPr="00A46CF7" w:rsidRDefault="00366FE2" w:rsidP="001C3883">
      <w:pPr>
        <w:numPr>
          <w:ilvl w:val="0"/>
          <w:numId w:val="4"/>
        </w:numPr>
        <w:pBdr>
          <w:top w:val="nil"/>
          <w:left w:val="nil"/>
          <w:bottom w:val="nil"/>
          <w:right w:val="nil"/>
          <w:between w:val="nil"/>
        </w:pBdr>
        <w:tabs>
          <w:tab w:val="left" w:pos="436"/>
          <w:tab w:val="left" w:pos="925"/>
          <w:tab w:val="center" w:pos="4998"/>
          <w:tab w:val="left" w:pos="5283"/>
        </w:tabs>
        <w:spacing w:after="120" w:line="360" w:lineRule="auto"/>
        <w:jc w:val="both"/>
        <w:rPr>
          <w:rFonts w:ascii="Arial" w:eastAsia="Arial" w:hAnsi="Arial" w:cs="Arial"/>
          <w:color w:val="010000"/>
          <w:sz w:val="20"/>
          <w:szCs w:val="20"/>
        </w:rPr>
      </w:pPr>
      <w:r w:rsidRPr="00A46CF7">
        <w:rPr>
          <w:rFonts w:ascii="Arial" w:hAnsi="Arial" w:cs="Arial"/>
          <w:color w:val="010000"/>
          <w:sz w:val="20"/>
        </w:rPr>
        <w:t>Number of shares expected to be issued: 10,008,000 shares</w:t>
      </w:r>
    </w:p>
    <w:p w14:paraId="0000000B" w14:textId="2944411C" w:rsidR="00010493" w:rsidRPr="00A46CF7" w:rsidRDefault="00366FE2" w:rsidP="001C3883">
      <w:pPr>
        <w:numPr>
          <w:ilvl w:val="0"/>
          <w:numId w:val="4"/>
        </w:numPr>
        <w:pBdr>
          <w:top w:val="nil"/>
          <w:left w:val="nil"/>
          <w:bottom w:val="nil"/>
          <w:right w:val="nil"/>
          <w:between w:val="nil"/>
        </w:pBdr>
        <w:tabs>
          <w:tab w:val="left" w:pos="436"/>
        </w:tabs>
        <w:spacing w:after="120" w:line="360" w:lineRule="auto"/>
        <w:jc w:val="both"/>
        <w:rPr>
          <w:rFonts w:ascii="Arial" w:eastAsia="Arial" w:hAnsi="Arial" w:cs="Arial"/>
          <w:color w:val="010000"/>
          <w:sz w:val="20"/>
          <w:szCs w:val="20"/>
        </w:rPr>
      </w:pPr>
      <w:r w:rsidRPr="00A46CF7">
        <w:rPr>
          <w:rFonts w:ascii="Arial" w:hAnsi="Arial" w:cs="Arial"/>
          <w:color w:val="010000"/>
          <w:sz w:val="20"/>
        </w:rPr>
        <w:t>Rights exercise rate: 100:11.12 (Shareholders owning 01 share will have 01 right</w:t>
      </w:r>
      <w:r w:rsidR="001C3883">
        <w:rPr>
          <w:rFonts w:ascii="Arial" w:hAnsi="Arial" w:cs="Arial"/>
          <w:color w:val="010000"/>
          <w:sz w:val="20"/>
        </w:rPr>
        <w:t>a</w:t>
      </w:r>
      <w:bookmarkStart w:id="0" w:name="_GoBack"/>
      <w:bookmarkEnd w:id="0"/>
      <w:r w:rsidRPr="00A46CF7">
        <w:rPr>
          <w:rFonts w:ascii="Arial" w:hAnsi="Arial" w:cs="Arial"/>
          <w:color w:val="010000"/>
          <w:sz w:val="20"/>
        </w:rPr>
        <w:t xml:space="preserve">, </w:t>
      </w:r>
      <w:r>
        <w:rPr>
          <w:rFonts w:ascii="Arial" w:hAnsi="Arial" w:cs="Arial"/>
          <w:color w:val="010000"/>
          <w:sz w:val="20"/>
        </w:rPr>
        <w:t xml:space="preserve">and </w:t>
      </w:r>
      <w:r w:rsidRPr="00A46CF7">
        <w:rPr>
          <w:rFonts w:ascii="Arial" w:hAnsi="Arial" w:cs="Arial"/>
          <w:color w:val="010000"/>
          <w:sz w:val="20"/>
        </w:rPr>
        <w:t>shareholders owning 100 rights will receive 11.12 new additional shares).</w:t>
      </w:r>
    </w:p>
    <w:p w14:paraId="0000000C" w14:textId="1D14435F" w:rsidR="00010493" w:rsidRPr="00A46CF7" w:rsidRDefault="00366FE2" w:rsidP="001C3883">
      <w:pPr>
        <w:numPr>
          <w:ilvl w:val="0"/>
          <w:numId w:val="4"/>
        </w:numPr>
        <w:pBdr>
          <w:top w:val="nil"/>
          <w:left w:val="nil"/>
          <w:bottom w:val="nil"/>
          <w:right w:val="nil"/>
          <w:between w:val="nil"/>
        </w:pBdr>
        <w:tabs>
          <w:tab w:val="left" w:pos="436"/>
        </w:tabs>
        <w:spacing w:after="120" w:line="360" w:lineRule="auto"/>
        <w:jc w:val="both"/>
        <w:rPr>
          <w:rFonts w:ascii="Arial" w:eastAsia="Arial" w:hAnsi="Arial" w:cs="Arial"/>
          <w:color w:val="010000"/>
          <w:sz w:val="20"/>
          <w:szCs w:val="20"/>
        </w:rPr>
      </w:pPr>
      <w:r w:rsidRPr="00A46CF7">
        <w:rPr>
          <w:rFonts w:ascii="Arial" w:hAnsi="Arial" w:cs="Arial"/>
          <w:color w:val="010000"/>
          <w:sz w:val="20"/>
        </w:rPr>
        <w:t>Source of capital for the issuance: From the investment and development fund as of December 31, 2023</w:t>
      </w:r>
      <w:r w:rsidR="000E37E7" w:rsidRPr="00A46CF7">
        <w:rPr>
          <w:rFonts w:ascii="Arial" w:hAnsi="Arial" w:cs="Arial"/>
          <w:color w:val="010000"/>
          <w:sz w:val="20"/>
        </w:rPr>
        <w:t>,</w:t>
      </w:r>
      <w:r w:rsidRPr="00A46CF7">
        <w:rPr>
          <w:rFonts w:ascii="Arial" w:hAnsi="Arial" w:cs="Arial"/>
          <w:color w:val="010000"/>
          <w:sz w:val="20"/>
        </w:rPr>
        <w:t xml:space="preserve"> based on the Audited Financial Statements 2023.</w:t>
      </w:r>
    </w:p>
    <w:p w14:paraId="0000000D" w14:textId="5F35D955" w:rsidR="00010493" w:rsidRPr="00A46CF7" w:rsidRDefault="00366FE2" w:rsidP="001C3883">
      <w:pPr>
        <w:numPr>
          <w:ilvl w:val="0"/>
          <w:numId w:val="4"/>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 xml:space="preserve">Plan on handling fractional </w:t>
      </w:r>
      <w:r w:rsidR="000E37E7" w:rsidRPr="00A46CF7">
        <w:rPr>
          <w:rFonts w:ascii="Arial" w:hAnsi="Arial" w:cs="Arial"/>
          <w:color w:val="010000"/>
          <w:sz w:val="20"/>
        </w:rPr>
        <w:t>shares</w:t>
      </w:r>
      <w:r w:rsidRPr="00A46CF7">
        <w:rPr>
          <w:rFonts w:ascii="Arial" w:hAnsi="Arial" w:cs="Arial"/>
          <w:color w:val="010000"/>
          <w:sz w:val="20"/>
        </w:rPr>
        <w:t xml:space="preserve">: The number of shares issued to increase share capital from the source of owners' equity for existing shareholders will be rounded down to the nearest unit. The odd number of shares </w:t>
      </w:r>
      <w:r w:rsidR="000E37E7" w:rsidRPr="00A46CF7">
        <w:rPr>
          <w:rFonts w:ascii="Arial" w:hAnsi="Arial" w:cs="Arial"/>
          <w:color w:val="010000"/>
          <w:sz w:val="20"/>
        </w:rPr>
        <w:t xml:space="preserve">incurring </w:t>
      </w:r>
      <w:r w:rsidRPr="00A46CF7">
        <w:rPr>
          <w:rFonts w:ascii="Arial" w:hAnsi="Arial" w:cs="Arial"/>
          <w:color w:val="010000"/>
          <w:sz w:val="20"/>
        </w:rPr>
        <w:t>(if any) due to rounding will be canceled.</w:t>
      </w:r>
    </w:p>
    <w:p w14:paraId="0000000E" w14:textId="77777777" w:rsidR="00010493" w:rsidRPr="00A46CF7" w:rsidRDefault="00366FE2" w:rsidP="001C3883">
      <w:pPr>
        <w:numPr>
          <w:ilvl w:val="0"/>
          <w:numId w:val="4"/>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Offering completion date: July 05, 2024</w:t>
      </w:r>
    </w:p>
    <w:p w14:paraId="0000000F" w14:textId="77777777" w:rsidR="00010493" w:rsidRPr="00A46CF7" w:rsidRDefault="00366FE2" w:rsidP="001C3883">
      <w:pPr>
        <w:numPr>
          <w:ilvl w:val="0"/>
          <w:numId w:val="4"/>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Expected date to transfer shares: Q3/2024.</w:t>
      </w:r>
    </w:p>
    <w:p w14:paraId="00000010" w14:textId="77777777" w:rsidR="00010493" w:rsidRPr="00A46CF7" w:rsidRDefault="00366FE2" w:rsidP="001C3883">
      <w:pPr>
        <w:numPr>
          <w:ilvl w:val="0"/>
          <w:numId w:val="3"/>
        </w:numPr>
        <w:pBdr>
          <w:top w:val="nil"/>
          <w:left w:val="nil"/>
          <w:bottom w:val="nil"/>
          <w:right w:val="nil"/>
          <w:between w:val="nil"/>
        </w:pBdr>
        <w:tabs>
          <w:tab w:val="left" w:pos="432"/>
          <w:tab w:val="left" w:pos="538"/>
        </w:tabs>
        <w:spacing w:after="120" w:line="360" w:lineRule="auto"/>
        <w:jc w:val="both"/>
        <w:rPr>
          <w:rFonts w:ascii="Arial" w:eastAsia="Arial" w:hAnsi="Arial" w:cs="Arial"/>
          <w:color w:val="010000"/>
          <w:sz w:val="20"/>
          <w:szCs w:val="20"/>
        </w:rPr>
      </w:pPr>
      <w:r w:rsidRPr="00A46CF7">
        <w:rPr>
          <w:rFonts w:ascii="Arial" w:hAnsi="Arial" w:cs="Arial"/>
          <w:color w:val="010000"/>
          <w:sz w:val="20"/>
        </w:rPr>
        <w:t>Share issuance results</w:t>
      </w:r>
    </w:p>
    <w:p w14:paraId="00000011" w14:textId="77777777" w:rsidR="00010493" w:rsidRPr="00A46CF7" w:rsidRDefault="00366FE2" w:rsidP="001C3883">
      <w:pPr>
        <w:numPr>
          <w:ilvl w:val="0"/>
          <w:numId w:val="2"/>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Total number of distributed shares: 10,007,569 shares, of which:</w:t>
      </w:r>
    </w:p>
    <w:p w14:paraId="00000012" w14:textId="77777777" w:rsidR="00010493" w:rsidRPr="00A46CF7" w:rsidRDefault="00366FE2" w:rsidP="001C3883">
      <w:pPr>
        <w:numPr>
          <w:ilvl w:val="0"/>
          <w:numId w:val="1"/>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The number of shares distributed to shareholders according to the rate: 10,007,569 shares for 850 shareholders</w:t>
      </w:r>
    </w:p>
    <w:p w14:paraId="00000013" w14:textId="28ACC133" w:rsidR="00010493" w:rsidRPr="00A46CF7" w:rsidRDefault="000E37E7" w:rsidP="001C3883">
      <w:pPr>
        <w:numPr>
          <w:ilvl w:val="0"/>
          <w:numId w:val="1"/>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hint="eastAsia"/>
          <w:color w:val="010000"/>
          <w:sz w:val="20"/>
        </w:rPr>
        <w:t>N</w:t>
      </w:r>
      <w:r w:rsidRPr="00A46CF7">
        <w:rPr>
          <w:rFonts w:ascii="Arial" w:hAnsi="Arial" w:cs="Arial"/>
          <w:color w:val="010000"/>
          <w:sz w:val="20"/>
        </w:rPr>
        <w:t xml:space="preserve">umber of fractional shares handled: 0 </w:t>
      </w:r>
      <w:r w:rsidR="00366FE2">
        <w:rPr>
          <w:rFonts w:ascii="Arial" w:hAnsi="Arial" w:cs="Arial"/>
          <w:color w:val="010000"/>
          <w:sz w:val="20"/>
        </w:rPr>
        <w:t>shares</w:t>
      </w:r>
      <w:r w:rsidRPr="00A46CF7">
        <w:rPr>
          <w:rFonts w:ascii="Arial" w:hAnsi="Arial" w:cs="Arial"/>
          <w:color w:val="010000"/>
          <w:sz w:val="20"/>
        </w:rPr>
        <w:t>.</w:t>
      </w:r>
    </w:p>
    <w:p w14:paraId="00000014" w14:textId="599AE964" w:rsidR="00010493" w:rsidRPr="00A46CF7" w:rsidRDefault="00366FE2" w:rsidP="001C3883">
      <w:pPr>
        <w:numPr>
          <w:ilvl w:val="0"/>
          <w:numId w:val="2"/>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 xml:space="preserve">The total number of </w:t>
      </w:r>
      <w:r w:rsidR="000E37E7" w:rsidRPr="00A46CF7">
        <w:rPr>
          <w:rFonts w:ascii="Arial" w:hAnsi="Arial" w:cs="Arial"/>
          <w:color w:val="010000"/>
          <w:sz w:val="20"/>
        </w:rPr>
        <w:t>shares</w:t>
      </w:r>
      <w:r w:rsidRPr="00A46CF7">
        <w:rPr>
          <w:rFonts w:ascii="Arial" w:hAnsi="Arial" w:cs="Arial"/>
          <w:color w:val="010000"/>
          <w:sz w:val="20"/>
        </w:rPr>
        <w:t xml:space="preserve"> after the issuance (on July 05, 2024): 100,007,569 shares, of which:</w:t>
      </w:r>
    </w:p>
    <w:p w14:paraId="00000015" w14:textId="77777777" w:rsidR="00010493" w:rsidRPr="00A46CF7" w:rsidRDefault="00366FE2" w:rsidP="001C3883">
      <w:pPr>
        <w:numPr>
          <w:ilvl w:val="0"/>
          <w:numId w:val="1"/>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Number of outstanding shares: 100,007,569 shares;</w:t>
      </w:r>
    </w:p>
    <w:p w14:paraId="00000016" w14:textId="7413C5D2" w:rsidR="00010493" w:rsidRPr="00A46CF7" w:rsidRDefault="00366FE2" w:rsidP="001C3883">
      <w:pPr>
        <w:numPr>
          <w:ilvl w:val="0"/>
          <w:numId w:val="1"/>
        </w:numPr>
        <w:pBdr>
          <w:top w:val="nil"/>
          <w:left w:val="nil"/>
          <w:bottom w:val="nil"/>
          <w:right w:val="nil"/>
          <w:between w:val="nil"/>
        </w:pBdr>
        <w:tabs>
          <w:tab w:val="left" w:pos="434"/>
        </w:tabs>
        <w:spacing w:after="120" w:line="360" w:lineRule="auto"/>
        <w:jc w:val="both"/>
        <w:rPr>
          <w:rFonts w:ascii="Arial" w:eastAsia="Arial" w:hAnsi="Arial" w:cs="Arial"/>
          <w:color w:val="010000"/>
          <w:sz w:val="20"/>
          <w:szCs w:val="20"/>
        </w:rPr>
      </w:pPr>
      <w:r w:rsidRPr="00A46CF7">
        <w:rPr>
          <w:rFonts w:ascii="Arial" w:hAnsi="Arial" w:cs="Arial"/>
          <w:color w:val="010000"/>
          <w:sz w:val="20"/>
        </w:rPr>
        <w:t xml:space="preserve">Number of treasury shares: 0 </w:t>
      </w:r>
      <w:r>
        <w:rPr>
          <w:rFonts w:ascii="Arial" w:hAnsi="Arial" w:cs="Arial"/>
          <w:color w:val="010000"/>
          <w:sz w:val="20"/>
        </w:rPr>
        <w:t>shares</w:t>
      </w:r>
      <w:r w:rsidRPr="00A46CF7">
        <w:rPr>
          <w:rFonts w:ascii="Arial" w:hAnsi="Arial" w:cs="Arial"/>
          <w:color w:val="010000"/>
          <w:sz w:val="20"/>
        </w:rPr>
        <w:t>.</w:t>
      </w:r>
    </w:p>
    <w:sectPr w:rsidR="00010493" w:rsidRPr="00A46CF7" w:rsidSect="000E37E7">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195F"/>
    <w:multiLevelType w:val="multilevel"/>
    <w:tmpl w:val="0E866CF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8BC2814"/>
    <w:multiLevelType w:val="multilevel"/>
    <w:tmpl w:val="9F589BA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F33E60"/>
    <w:multiLevelType w:val="multilevel"/>
    <w:tmpl w:val="4C001E1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9F37A3"/>
    <w:multiLevelType w:val="multilevel"/>
    <w:tmpl w:val="6EF8B918"/>
    <w:lvl w:ilvl="0">
      <w:start w:val="1"/>
      <w:numFmt w:val="upp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93"/>
    <w:rsid w:val="00010493"/>
    <w:rsid w:val="000E37E7"/>
    <w:rsid w:val="001C3883"/>
    <w:rsid w:val="00366FE2"/>
    <w:rsid w:val="009E6C45"/>
    <w:rsid w:val="00A46CF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FBAAC"/>
  <w15:docId w15:val="{1EE25BD7-2535-4E17-8883-53CE594F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EastAsia"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0">
    <w:name w:val="Heading #1_"/>
    <w:basedOn w:val="DefaultParagraphFont"/>
    <w:link w:val="Heading11"/>
    <w:rPr>
      <w:rFonts w:ascii="Arial" w:eastAsia="Arial" w:hAnsi="Arial" w:cs="Arial"/>
      <w:b w:val="0"/>
      <w:bCs w:val="0"/>
      <w:i w:val="0"/>
      <w:iCs w:val="0"/>
      <w:smallCaps w:val="0"/>
      <w:strike w:val="0"/>
      <w:color w:val="0353AD"/>
      <w:sz w:val="80"/>
      <w:szCs w:val="8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7060B"/>
      <w:w w:val="80"/>
      <w:sz w:val="20"/>
      <w:szCs w:val="2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Heading11">
    <w:name w:val="Heading #1"/>
    <w:basedOn w:val="Normal"/>
    <w:link w:val="Heading10"/>
    <w:pPr>
      <w:outlineLvl w:val="0"/>
    </w:pPr>
    <w:rPr>
      <w:rFonts w:ascii="Arial" w:eastAsia="Arial" w:hAnsi="Arial" w:cs="Arial"/>
      <w:color w:val="0353AD"/>
      <w:sz w:val="80"/>
      <w:szCs w:val="80"/>
    </w:rPr>
  </w:style>
  <w:style w:type="paragraph" w:customStyle="1" w:styleId="Other0">
    <w:name w:val="Other"/>
    <w:basedOn w:val="Normal"/>
    <w:link w:val="Other"/>
    <w:pPr>
      <w:spacing w:line="250" w:lineRule="auto"/>
    </w:pPr>
    <w:rPr>
      <w:rFonts w:ascii="Times New Roman" w:eastAsia="Times New Roman" w:hAnsi="Times New Roman" w:cs="Times New Roman"/>
      <w:sz w:val="26"/>
      <w:szCs w:val="26"/>
    </w:rPr>
  </w:style>
  <w:style w:type="paragraph" w:styleId="BodyText">
    <w:name w:val="Body Text"/>
    <w:basedOn w:val="Normal"/>
    <w:link w:val="BodyTextChar"/>
    <w:qFormat/>
    <w:pPr>
      <w:spacing w:line="250" w:lineRule="auto"/>
    </w:pPr>
    <w:rPr>
      <w:rFonts w:ascii="Times New Roman" w:eastAsia="Times New Roman" w:hAnsi="Times New Roman" w:cs="Times New Roman"/>
      <w:sz w:val="26"/>
      <w:szCs w:val="26"/>
    </w:rPr>
  </w:style>
  <w:style w:type="paragraph" w:customStyle="1" w:styleId="Bodytext20">
    <w:name w:val="Body text (2)"/>
    <w:basedOn w:val="Normal"/>
    <w:link w:val="Bodytext2"/>
    <w:rPr>
      <w:rFonts w:ascii="Arial" w:eastAsia="Arial" w:hAnsi="Arial" w:cs="Arial"/>
      <w:sz w:val="8"/>
      <w:szCs w:val="8"/>
    </w:rPr>
  </w:style>
  <w:style w:type="paragraph" w:customStyle="1" w:styleId="Bodytext30">
    <w:name w:val="Body text (3)"/>
    <w:basedOn w:val="Normal"/>
    <w:link w:val="Bodytext3"/>
    <w:pPr>
      <w:spacing w:line="235" w:lineRule="auto"/>
    </w:pPr>
    <w:rPr>
      <w:rFonts w:ascii="Arial" w:eastAsia="Arial" w:hAnsi="Arial" w:cs="Arial"/>
      <w:color w:val="C7060B"/>
      <w:w w:val="80"/>
      <w:sz w:val="20"/>
      <w:szCs w:val="20"/>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HW2+9sQZCKF7ZApdtxNcg/hHg==">CgMxLjA4AHIhMWZ5UzRxa2thSEl6dDhaelNBZ25WUXJ6M2p0Z0dyYU5l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1463</Characters>
  <Application>Microsoft Office Word</Application>
  <DocSecurity>0</DocSecurity>
  <Lines>29</Lines>
  <Paragraphs>25</Paragraphs>
  <ScaleCrop>false</ScaleCrop>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2024-07-16T03:35:00Z</dcterms:created>
  <dcterms:modified xsi:type="dcterms:W3CDTF">2024-07-17T04:10:00Z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2ee758a01eee9e38dbe630ebe57754440244c5624a218d08df5e9337826b4afe</vt:lpwstr>
  </property>
</Properties>
</file>