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9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C1D6D">
        <w:rPr>
          <w:rFonts w:ascii="Arial" w:hAnsi="Arial" w:cs="Arial"/>
          <w:b/>
          <w:color w:val="010000"/>
          <w:sz w:val="20"/>
        </w:rPr>
        <w:t>LDP: Board Resolution</w:t>
      </w:r>
    </w:p>
    <w:p w14:paraId="00000002" w14:textId="28E3409F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 xml:space="preserve">On July 12, 2024, Lam Dong Pharmaceutical JSC announced Resolution No. 17/NQ-HDQT/2024 on approving the policy of re-operating the Northern Branch of Lam Dong Pharmaceutical JSC as follows: </w:t>
      </w:r>
    </w:p>
    <w:p w14:paraId="00000003" w14:textId="376F5062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Article 1: Approve the policy of re-operating the Northern Branch of Lam Dong Pharmaceutical JSC from July 2024.</w:t>
      </w:r>
    </w:p>
    <w:p w14:paraId="00000004" w14:textId="77777777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 xml:space="preserve">Article 2: Assign the General Manager to carry out procedures with the business registration authority to re-operate the branch pursuant to the approval of the </w:t>
      </w:r>
      <w:bookmarkStart w:id="0" w:name="_GoBack"/>
      <w:bookmarkEnd w:id="0"/>
      <w:r w:rsidRPr="005C1D6D">
        <w:rPr>
          <w:rFonts w:ascii="Arial" w:hAnsi="Arial" w:cs="Arial"/>
          <w:color w:val="010000"/>
          <w:sz w:val="20"/>
        </w:rPr>
        <w:t>Board of Directors, ensuring the Company's legal rights and interests.</w:t>
      </w:r>
    </w:p>
    <w:p w14:paraId="00000005" w14:textId="7A180896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Article 3: Authorize the Chair of the Board of Directors and/or the General Manager to have full authority to decide on issues arising related to the re-operation of the above Branch, including but not limited to staff restructuring, changing of address of the Branch; ensure compliance with the provisions of law, Charter and internal regulations of the Company.</w:t>
      </w:r>
    </w:p>
    <w:p w14:paraId="00000006" w14:textId="4CEA640D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Article 4: The Executive Board, functional departments of Lam Dong Pharmaceutical JSC, and affiliated individuals are responsible for the implementation of the contents of this Resolution.</w:t>
      </w:r>
    </w:p>
    <w:p w14:paraId="00000007" w14:textId="77777777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This Resolution takes effect from the date of its signing./.</w:t>
      </w:r>
    </w:p>
    <w:p w14:paraId="00000009" w14:textId="4FD15D95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On July 12, 2024, Lam Dong Pharmaceutical JSC announced Resolution No. 18/NQ-HDQT/2024 on approving the policy of re-operating the Western Branch of Lam Dong Pharmaceutical JSC as follows:</w:t>
      </w:r>
    </w:p>
    <w:p w14:paraId="0000000A" w14:textId="19A5E97E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Article 1: Approve the policy of re-operating the Western Branch of Lam Dong Pharmaceutical JSC from July 15, 2024.</w:t>
      </w:r>
    </w:p>
    <w:p w14:paraId="0000000B" w14:textId="77777777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Article 2: Assign the General Manager to carry out procedures with the business registration authority to re-operate the branch pursuant to the approval of the Board of Directors, ensuring the Company's legal rights and interests.</w:t>
      </w:r>
    </w:p>
    <w:p w14:paraId="0000000C" w14:textId="797786FD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Article 3: Authorize the Chair of the Board of Directors and/or the General Manager to have full authority to decide on issues arising related to the re-operation of the above Branch, including but not limited to staff restructuring, changing of address of the Branch; ensure compliance with the provisions of law, Charter and internal regulations of the Company.</w:t>
      </w:r>
    </w:p>
    <w:p w14:paraId="0000000D" w14:textId="22DB993B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Article 4: The Executive Board, functional departments of Lam Dong Pharmaceutical JSC, and affiliated individuals are responsible for the implementation of the contents of this Resolution.</w:t>
      </w:r>
    </w:p>
    <w:p w14:paraId="0000000E" w14:textId="77777777" w:rsidR="00344798" w:rsidRPr="005C1D6D" w:rsidRDefault="005C1D6D" w:rsidP="00AE24C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C1D6D">
        <w:rPr>
          <w:rFonts w:ascii="Arial" w:hAnsi="Arial" w:cs="Arial"/>
          <w:color w:val="010000"/>
          <w:sz w:val="20"/>
        </w:rPr>
        <w:t>This Resolution takes effect from the date of its signing./.</w:t>
      </w:r>
    </w:p>
    <w:sectPr w:rsidR="00344798" w:rsidRPr="005C1D6D" w:rsidSect="005C1D6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98"/>
    <w:rsid w:val="00344798"/>
    <w:rsid w:val="005C1D6D"/>
    <w:rsid w:val="00A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93DC3"/>
  <w15:docId w15:val="{C8584FA5-A77F-4CA9-A432-E71F2B5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8F2533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82231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Cambria" w:eastAsia="Cambria" w:hAnsi="Cambria" w:cs="Cambria"/>
      <w:color w:val="8F2533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66" w:lineRule="auto"/>
      <w:jc w:val="center"/>
    </w:pPr>
    <w:rPr>
      <w:rFonts w:ascii="Arial" w:eastAsia="Arial" w:hAnsi="Arial" w:cs="Arial"/>
      <w:color w:val="A82231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qMPS+zi1AalgOR0Lju8YOOYVg==">CgMxLjA4AHIhMTFtTmNVVEI2b0xSbkJGNWstQ21DWFR3SVhPY0VSemI4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2024-07-16T03:15:00Z</dcterms:created>
  <dcterms:modified xsi:type="dcterms:W3CDTF">2024-07-17T03:19:00Z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5dbe310a83362848393830caac9d99aa9acf1fa8868123c3d2607024988b6b85</vt:lpwstr>
  </property>
</Properties>
</file>