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C41EB" w:rsidRPr="002E799E" w:rsidRDefault="002E799E" w:rsidP="002E799E">
      <w:pPr>
        <w:widowControl/>
        <w:pBdr>
          <w:top w:val="nil"/>
          <w:left w:val="nil"/>
          <w:bottom w:val="nil"/>
          <w:right w:val="nil"/>
          <w:between w:val="nil"/>
        </w:pBdr>
        <w:tabs>
          <w:tab w:val="left" w:pos="810"/>
        </w:tabs>
        <w:spacing w:after="120" w:line="360" w:lineRule="auto"/>
        <w:rPr>
          <w:rFonts w:ascii="Arial" w:eastAsia="Arial" w:hAnsi="Arial" w:cs="Arial"/>
          <w:b/>
          <w:color w:val="010000"/>
          <w:sz w:val="20"/>
          <w:szCs w:val="20"/>
        </w:rPr>
      </w:pPr>
      <w:bookmarkStart w:id="0" w:name="_GoBack"/>
      <w:bookmarkEnd w:id="0"/>
      <w:r w:rsidRPr="002E799E">
        <w:rPr>
          <w:rFonts w:ascii="Arial" w:hAnsi="Arial" w:cs="Arial"/>
          <w:b/>
          <w:color w:val="010000"/>
          <w:sz w:val="20"/>
        </w:rPr>
        <w:t>PAP: Board Resolution</w:t>
      </w:r>
    </w:p>
    <w:p w14:paraId="00000002" w14:textId="08D561E2" w:rsidR="000C41EB" w:rsidRPr="002E799E" w:rsidRDefault="002E799E" w:rsidP="002E799E">
      <w:pPr>
        <w:widowControl/>
        <w:pBdr>
          <w:top w:val="nil"/>
          <w:left w:val="nil"/>
          <w:bottom w:val="nil"/>
          <w:right w:val="nil"/>
          <w:between w:val="nil"/>
        </w:pBdr>
        <w:tabs>
          <w:tab w:val="left" w:pos="810"/>
        </w:tabs>
        <w:spacing w:after="120" w:line="360" w:lineRule="auto"/>
        <w:rPr>
          <w:rFonts w:ascii="Arial" w:eastAsia="Arial" w:hAnsi="Arial" w:cs="Arial"/>
          <w:color w:val="010000"/>
          <w:sz w:val="20"/>
          <w:szCs w:val="20"/>
        </w:rPr>
      </w:pPr>
      <w:r w:rsidRPr="002E799E">
        <w:rPr>
          <w:rFonts w:ascii="Arial" w:hAnsi="Arial" w:cs="Arial"/>
          <w:color w:val="010000"/>
          <w:sz w:val="20"/>
        </w:rPr>
        <w:t>On July 14, 2024, Petro Vietnam Phuoc An Port Investment &amp; Operation Joint Stock Company announced Resolution No. 65/NQ-PAP on approving on distributing offered shares of the private placement to increase charter capital from VND2,000 billion to VND2,380 billion as follows:</w:t>
      </w:r>
    </w:p>
    <w:p w14:paraId="00000003" w14:textId="17DE344C" w:rsidR="000C41EB" w:rsidRPr="002E799E" w:rsidRDefault="002E799E" w:rsidP="002E799E">
      <w:pPr>
        <w:pBdr>
          <w:top w:val="nil"/>
          <w:left w:val="nil"/>
          <w:bottom w:val="nil"/>
          <w:right w:val="nil"/>
          <w:between w:val="nil"/>
        </w:pBdr>
        <w:tabs>
          <w:tab w:val="left" w:pos="810"/>
        </w:tabs>
        <w:spacing w:after="120" w:line="360" w:lineRule="auto"/>
        <w:rPr>
          <w:rFonts w:ascii="Arial" w:eastAsia="Arial" w:hAnsi="Arial" w:cs="Arial"/>
          <w:color w:val="010000"/>
          <w:sz w:val="20"/>
          <w:szCs w:val="20"/>
        </w:rPr>
      </w:pPr>
      <w:r w:rsidRPr="002E799E">
        <w:rPr>
          <w:rFonts w:ascii="Arial" w:hAnsi="Arial" w:cs="Arial"/>
          <w:color w:val="010000"/>
          <w:sz w:val="20"/>
        </w:rPr>
        <w:t>Article 1: The Board of Directors approved on distributing offered shares of the private placement to increase charter capital from VND2,000 billion to VND2,380 billion in accordance with the plan approved by the General Meeting of Shareholders at the Annual General Mandate 2023 No. 45/NQ-PAP dated June 23, 2024 as follows:</w:t>
      </w:r>
    </w:p>
    <w:p w14:paraId="00000004" w14:textId="69212F7A" w:rsidR="000C41EB" w:rsidRPr="002E799E" w:rsidRDefault="002E799E" w:rsidP="002E799E">
      <w:pPr>
        <w:keepNext/>
        <w:numPr>
          <w:ilvl w:val="0"/>
          <w:numId w:val="3"/>
        </w:numPr>
        <w:pBdr>
          <w:top w:val="nil"/>
          <w:left w:val="nil"/>
          <w:bottom w:val="nil"/>
          <w:right w:val="nil"/>
          <w:between w:val="nil"/>
        </w:pBdr>
        <w:tabs>
          <w:tab w:val="left" w:pos="810"/>
          <w:tab w:val="left" w:pos="1906"/>
        </w:tabs>
        <w:spacing w:after="120" w:line="360" w:lineRule="auto"/>
        <w:rPr>
          <w:rFonts w:ascii="Arial" w:eastAsia="Arial" w:hAnsi="Arial" w:cs="Arial"/>
          <w:color w:val="010000"/>
          <w:sz w:val="20"/>
          <w:szCs w:val="20"/>
        </w:rPr>
      </w:pPr>
      <w:r w:rsidRPr="002E799E">
        <w:rPr>
          <w:rFonts w:ascii="Arial" w:hAnsi="Arial" w:cs="Arial"/>
          <w:color w:val="010000"/>
          <w:sz w:val="20"/>
        </w:rPr>
        <w:t>Distribution of offered shares of the private placement for shareholders, particularly:</w:t>
      </w:r>
    </w:p>
    <w:p w14:paraId="00000005" w14:textId="77777777" w:rsidR="000C41EB" w:rsidRPr="002E799E" w:rsidRDefault="002E799E" w:rsidP="002E799E">
      <w:pPr>
        <w:numPr>
          <w:ilvl w:val="0"/>
          <w:numId w:val="4"/>
        </w:numPr>
        <w:pBdr>
          <w:top w:val="nil"/>
          <w:left w:val="nil"/>
          <w:bottom w:val="nil"/>
          <w:right w:val="nil"/>
          <w:between w:val="nil"/>
        </w:pBdr>
        <w:tabs>
          <w:tab w:val="left" w:pos="810"/>
          <w:tab w:val="left" w:pos="1812"/>
        </w:tabs>
        <w:spacing w:after="120" w:line="360" w:lineRule="auto"/>
        <w:rPr>
          <w:rFonts w:ascii="Arial" w:eastAsia="Arial" w:hAnsi="Arial" w:cs="Arial"/>
          <w:color w:val="010000"/>
          <w:sz w:val="20"/>
          <w:szCs w:val="20"/>
        </w:rPr>
      </w:pPr>
      <w:r w:rsidRPr="002E799E">
        <w:rPr>
          <w:rFonts w:ascii="Arial" w:hAnsi="Arial" w:cs="Arial"/>
          <w:color w:val="010000"/>
          <w:sz w:val="20"/>
        </w:rPr>
        <w:t>Share name: Shares of Petro Vietnam Phuoc An Port Investment &amp; Operation Joint Stock Company.</w:t>
      </w:r>
    </w:p>
    <w:p w14:paraId="00000006" w14:textId="3927559B" w:rsidR="000C41EB" w:rsidRPr="002E799E" w:rsidRDefault="002E799E" w:rsidP="002E799E">
      <w:pPr>
        <w:numPr>
          <w:ilvl w:val="0"/>
          <w:numId w:val="4"/>
        </w:numPr>
        <w:pBdr>
          <w:top w:val="nil"/>
          <w:left w:val="nil"/>
          <w:bottom w:val="nil"/>
          <w:right w:val="nil"/>
          <w:between w:val="nil"/>
        </w:pBdr>
        <w:tabs>
          <w:tab w:val="left" w:pos="810"/>
          <w:tab w:val="left" w:pos="1819"/>
        </w:tabs>
        <w:spacing w:after="120" w:line="360" w:lineRule="auto"/>
        <w:rPr>
          <w:rFonts w:ascii="Arial" w:eastAsia="Arial" w:hAnsi="Arial" w:cs="Arial"/>
          <w:color w:val="010000"/>
          <w:sz w:val="20"/>
          <w:szCs w:val="20"/>
        </w:rPr>
      </w:pPr>
      <w:r w:rsidRPr="002E799E">
        <w:rPr>
          <w:rFonts w:ascii="Arial" w:hAnsi="Arial" w:cs="Arial"/>
          <w:color w:val="010000"/>
          <w:sz w:val="20"/>
        </w:rPr>
        <w:t>Share type: common shares</w:t>
      </w:r>
    </w:p>
    <w:p w14:paraId="00000007" w14:textId="77777777" w:rsidR="000C41EB" w:rsidRPr="002E799E" w:rsidRDefault="002E799E" w:rsidP="002E799E">
      <w:pPr>
        <w:numPr>
          <w:ilvl w:val="0"/>
          <w:numId w:val="4"/>
        </w:numPr>
        <w:pBdr>
          <w:top w:val="nil"/>
          <w:left w:val="nil"/>
          <w:bottom w:val="nil"/>
          <w:right w:val="nil"/>
          <w:between w:val="nil"/>
        </w:pBdr>
        <w:tabs>
          <w:tab w:val="left" w:pos="810"/>
          <w:tab w:val="left" w:pos="1819"/>
        </w:tabs>
        <w:spacing w:after="120" w:line="360" w:lineRule="auto"/>
        <w:rPr>
          <w:rFonts w:ascii="Arial" w:eastAsia="Arial" w:hAnsi="Arial" w:cs="Arial"/>
          <w:color w:val="010000"/>
          <w:sz w:val="20"/>
          <w:szCs w:val="20"/>
        </w:rPr>
      </w:pPr>
      <w:r w:rsidRPr="002E799E">
        <w:rPr>
          <w:rFonts w:ascii="Arial" w:hAnsi="Arial" w:cs="Arial"/>
          <w:color w:val="010000"/>
          <w:sz w:val="20"/>
        </w:rPr>
        <w:t>Par value: VND10,000</w:t>
      </w:r>
    </w:p>
    <w:p w14:paraId="00000008" w14:textId="77777777" w:rsidR="000C41EB" w:rsidRPr="002E799E" w:rsidRDefault="002E799E" w:rsidP="002E799E">
      <w:pPr>
        <w:numPr>
          <w:ilvl w:val="0"/>
          <w:numId w:val="4"/>
        </w:numPr>
        <w:pBdr>
          <w:top w:val="nil"/>
          <w:left w:val="nil"/>
          <w:bottom w:val="nil"/>
          <w:right w:val="nil"/>
          <w:between w:val="nil"/>
        </w:pBdr>
        <w:tabs>
          <w:tab w:val="left" w:pos="810"/>
          <w:tab w:val="left" w:pos="1819"/>
        </w:tabs>
        <w:spacing w:after="120" w:line="360" w:lineRule="auto"/>
        <w:rPr>
          <w:rFonts w:ascii="Arial" w:eastAsia="Arial" w:hAnsi="Arial" w:cs="Arial"/>
          <w:color w:val="010000"/>
          <w:sz w:val="20"/>
          <w:szCs w:val="20"/>
        </w:rPr>
      </w:pPr>
      <w:r w:rsidRPr="002E799E">
        <w:rPr>
          <w:rFonts w:ascii="Arial" w:hAnsi="Arial" w:cs="Arial"/>
          <w:color w:val="010000"/>
          <w:sz w:val="20"/>
        </w:rPr>
        <w:t>Number of offered shares: 38,000,000 shares.</w:t>
      </w:r>
    </w:p>
    <w:p w14:paraId="00000009" w14:textId="77777777" w:rsidR="000C41EB" w:rsidRPr="002E799E" w:rsidRDefault="002E799E" w:rsidP="002E799E">
      <w:pPr>
        <w:numPr>
          <w:ilvl w:val="0"/>
          <w:numId w:val="4"/>
        </w:numPr>
        <w:pBdr>
          <w:top w:val="nil"/>
          <w:left w:val="nil"/>
          <w:bottom w:val="nil"/>
          <w:right w:val="nil"/>
          <w:between w:val="nil"/>
        </w:pBdr>
        <w:tabs>
          <w:tab w:val="left" w:pos="810"/>
          <w:tab w:val="left" w:pos="1819"/>
        </w:tabs>
        <w:spacing w:after="120" w:line="360" w:lineRule="auto"/>
        <w:rPr>
          <w:rFonts w:ascii="Arial" w:eastAsia="Arial" w:hAnsi="Arial" w:cs="Arial"/>
          <w:color w:val="010000"/>
          <w:sz w:val="20"/>
          <w:szCs w:val="20"/>
        </w:rPr>
      </w:pPr>
      <w:r w:rsidRPr="002E799E">
        <w:rPr>
          <w:rFonts w:ascii="Arial" w:hAnsi="Arial" w:cs="Arial"/>
          <w:color w:val="010000"/>
          <w:sz w:val="20"/>
        </w:rPr>
        <w:t>Offering price: VND12,000/share.</w:t>
      </w:r>
    </w:p>
    <w:p w14:paraId="0000000A" w14:textId="77777777" w:rsidR="000C41EB" w:rsidRPr="002E799E" w:rsidRDefault="002E799E" w:rsidP="002E799E">
      <w:pPr>
        <w:numPr>
          <w:ilvl w:val="0"/>
          <w:numId w:val="4"/>
        </w:numPr>
        <w:pBdr>
          <w:top w:val="nil"/>
          <w:left w:val="nil"/>
          <w:bottom w:val="nil"/>
          <w:right w:val="nil"/>
          <w:between w:val="nil"/>
        </w:pBdr>
        <w:tabs>
          <w:tab w:val="left" w:pos="810"/>
          <w:tab w:val="left" w:pos="1826"/>
        </w:tabs>
        <w:spacing w:after="120" w:line="360" w:lineRule="auto"/>
        <w:rPr>
          <w:rFonts w:ascii="Arial" w:eastAsia="Arial" w:hAnsi="Arial" w:cs="Arial"/>
          <w:color w:val="010000"/>
          <w:sz w:val="20"/>
          <w:szCs w:val="20"/>
        </w:rPr>
      </w:pPr>
      <w:r w:rsidRPr="002E799E">
        <w:rPr>
          <w:rFonts w:ascii="Arial" w:hAnsi="Arial" w:cs="Arial"/>
          <w:color w:val="010000"/>
          <w:sz w:val="20"/>
        </w:rPr>
        <w:t xml:space="preserve">Time to register and make payment to purchase shares: In business hours from July 15, 2024 to July 31, 2024. </w:t>
      </w:r>
    </w:p>
    <w:p w14:paraId="0000000B" w14:textId="77777777" w:rsidR="000C41EB" w:rsidRPr="002E799E" w:rsidRDefault="002E799E" w:rsidP="002E799E">
      <w:pPr>
        <w:numPr>
          <w:ilvl w:val="0"/>
          <w:numId w:val="4"/>
        </w:numPr>
        <w:pBdr>
          <w:top w:val="nil"/>
          <w:left w:val="nil"/>
          <w:bottom w:val="nil"/>
          <w:right w:val="nil"/>
          <w:between w:val="nil"/>
        </w:pBdr>
        <w:tabs>
          <w:tab w:val="left" w:pos="810"/>
          <w:tab w:val="left" w:pos="1819"/>
        </w:tabs>
        <w:spacing w:after="120" w:line="360" w:lineRule="auto"/>
        <w:rPr>
          <w:rFonts w:ascii="Arial" w:eastAsia="Arial" w:hAnsi="Arial" w:cs="Arial"/>
          <w:color w:val="010000"/>
          <w:sz w:val="20"/>
          <w:szCs w:val="20"/>
        </w:rPr>
      </w:pPr>
      <w:r w:rsidRPr="002E799E">
        <w:rPr>
          <w:rFonts w:ascii="Arial" w:hAnsi="Arial" w:cs="Arial"/>
          <w:color w:val="010000"/>
          <w:sz w:val="20"/>
        </w:rPr>
        <w:t>Location for purchase registration: Petro Vietnam Phuoc An Port Investment &amp; Operation Joint Stock Company.</w:t>
      </w:r>
    </w:p>
    <w:p w14:paraId="0000000C" w14:textId="77777777" w:rsidR="000C41EB" w:rsidRPr="002E799E" w:rsidRDefault="002E799E" w:rsidP="002E799E">
      <w:pPr>
        <w:numPr>
          <w:ilvl w:val="0"/>
          <w:numId w:val="1"/>
        </w:numPr>
        <w:pBdr>
          <w:top w:val="nil"/>
          <w:left w:val="nil"/>
          <w:bottom w:val="nil"/>
          <w:right w:val="nil"/>
          <w:between w:val="nil"/>
        </w:pBdr>
        <w:tabs>
          <w:tab w:val="left" w:pos="810"/>
        </w:tabs>
        <w:spacing w:after="120" w:line="360" w:lineRule="auto"/>
        <w:ind w:left="0" w:firstLine="0"/>
        <w:rPr>
          <w:rFonts w:ascii="Arial" w:eastAsia="Arial" w:hAnsi="Arial" w:cs="Arial"/>
          <w:color w:val="010000"/>
          <w:sz w:val="20"/>
          <w:szCs w:val="20"/>
        </w:rPr>
      </w:pPr>
      <w:r w:rsidRPr="002E799E">
        <w:rPr>
          <w:rFonts w:ascii="Arial" w:hAnsi="Arial" w:cs="Arial"/>
          <w:color w:val="010000"/>
          <w:sz w:val="20"/>
        </w:rPr>
        <w:t xml:space="preserve">Address: Phuoc An Port Logistic Services Area, Ba Truong Hamlet, Phuoc An Commune, Nhon Trach District, Dong Nai Province, Vietnam. </w:t>
      </w:r>
    </w:p>
    <w:p w14:paraId="0000000D" w14:textId="54F35500" w:rsidR="000C41EB" w:rsidRPr="002E799E" w:rsidRDefault="002E799E" w:rsidP="002E799E">
      <w:pPr>
        <w:numPr>
          <w:ilvl w:val="0"/>
          <w:numId w:val="1"/>
        </w:numPr>
        <w:pBdr>
          <w:top w:val="nil"/>
          <w:left w:val="nil"/>
          <w:bottom w:val="nil"/>
          <w:right w:val="nil"/>
          <w:between w:val="nil"/>
        </w:pBdr>
        <w:tabs>
          <w:tab w:val="left" w:pos="810"/>
        </w:tabs>
        <w:spacing w:after="120" w:line="360" w:lineRule="auto"/>
        <w:ind w:left="0" w:firstLine="0"/>
        <w:rPr>
          <w:rFonts w:ascii="Arial" w:eastAsia="Arial" w:hAnsi="Arial" w:cs="Arial"/>
          <w:color w:val="010000"/>
          <w:sz w:val="20"/>
          <w:szCs w:val="20"/>
        </w:rPr>
      </w:pPr>
      <w:r w:rsidRPr="002E799E">
        <w:rPr>
          <w:rFonts w:ascii="Arial" w:hAnsi="Arial" w:cs="Arial"/>
          <w:color w:val="010000"/>
          <w:sz w:val="20"/>
        </w:rPr>
        <w:t>Tel: 0251.3685588; Fax: 0251.3685599;</w:t>
      </w:r>
    </w:p>
    <w:p w14:paraId="0000000E" w14:textId="77777777" w:rsidR="000C41EB" w:rsidRPr="002E799E" w:rsidRDefault="002E799E" w:rsidP="002E799E">
      <w:pPr>
        <w:numPr>
          <w:ilvl w:val="0"/>
          <w:numId w:val="1"/>
        </w:numPr>
        <w:pBdr>
          <w:top w:val="nil"/>
          <w:left w:val="nil"/>
          <w:bottom w:val="nil"/>
          <w:right w:val="nil"/>
          <w:between w:val="nil"/>
        </w:pBdr>
        <w:tabs>
          <w:tab w:val="left" w:pos="810"/>
        </w:tabs>
        <w:spacing w:after="120" w:line="360" w:lineRule="auto"/>
        <w:ind w:left="0" w:firstLine="0"/>
        <w:rPr>
          <w:rFonts w:ascii="Arial" w:eastAsia="Arial" w:hAnsi="Arial" w:cs="Arial"/>
          <w:color w:val="010000"/>
          <w:sz w:val="20"/>
          <w:szCs w:val="20"/>
        </w:rPr>
      </w:pPr>
      <w:r w:rsidRPr="002E799E">
        <w:rPr>
          <w:rFonts w:ascii="Arial" w:hAnsi="Arial" w:cs="Arial"/>
          <w:color w:val="010000"/>
          <w:sz w:val="20"/>
        </w:rPr>
        <w:t>Email: phuocanport@pap.vn</w:t>
      </w:r>
    </w:p>
    <w:p w14:paraId="0000000F" w14:textId="350BDF92" w:rsidR="000C41EB" w:rsidRPr="002E799E" w:rsidRDefault="002E799E" w:rsidP="002E799E">
      <w:pPr>
        <w:numPr>
          <w:ilvl w:val="0"/>
          <w:numId w:val="4"/>
        </w:numPr>
        <w:pBdr>
          <w:top w:val="nil"/>
          <w:left w:val="nil"/>
          <w:bottom w:val="nil"/>
          <w:right w:val="nil"/>
          <w:between w:val="nil"/>
        </w:pBdr>
        <w:tabs>
          <w:tab w:val="left" w:pos="810"/>
          <w:tab w:val="left" w:pos="1823"/>
        </w:tabs>
        <w:spacing w:after="120" w:line="360" w:lineRule="auto"/>
        <w:rPr>
          <w:rFonts w:ascii="Arial" w:eastAsia="Arial" w:hAnsi="Arial" w:cs="Arial"/>
          <w:color w:val="010000"/>
          <w:sz w:val="20"/>
          <w:szCs w:val="20"/>
        </w:rPr>
      </w:pPr>
      <w:r w:rsidRPr="002E799E">
        <w:rPr>
          <w:rFonts w:ascii="Arial" w:hAnsi="Arial" w:cs="Arial"/>
          <w:color w:val="010000"/>
          <w:sz w:val="20"/>
        </w:rPr>
        <w:t>The list of investors purchasing shares.</w:t>
      </w:r>
    </w:p>
    <w:p w14:paraId="00000010" w14:textId="77777777" w:rsidR="000C41EB" w:rsidRPr="002E799E" w:rsidRDefault="002E799E" w:rsidP="002E799E">
      <w:pPr>
        <w:numPr>
          <w:ilvl w:val="0"/>
          <w:numId w:val="4"/>
        </w:numPr>
        <w:pBdr>
          <w:top w:val="nil"/>
          <w:left w:val="nil"/>
          <w:bottom w:val="nil"/>
          <w:right w:val="nil"/>
          <w:between w:val="nil"/>
        </w:pBdr>
        <w:tabs>
          <w:tab w:val="left" w:pos="810"/>
          <w:tab w:val="left" w:pos="1823"/>
        </w:tabs>
        <w:spacing w:after="120" w:line="360" w:lineRule="auto"/>
        <w:rPr>
          <w:rFonts w:ascii="Arial" w:eastAsia="Arial" w:hAnsi="Arial" w:cs="Arial"/>
          <w:color w:val="010000"/>
          <w:sz w:val="20"/>
          <w:szCs w:val="20"/>
        </w:rPr>
      </w:pPr>
      <w:r w:rsidRPr="002E799E">
        <w:rPr>
          <w:rFonts w:ascii="Arial" w:hAnsi="Arial" w:cs="Arial"/>
          <w:color w:val="010000"/>
          <w:sz w:val="20"/>
        </w:rPr>
        <w:t>Account receiving money to purchase shares (Investors pay transfer fees):</w:t>
      </w:r>
    </w:p>
    <w:p w14:paraId="00000011" w14:textId="77777777" w:rsidR="000C41EB" w:rsidRPr="002E799E" w:rsidRDefault="002E799E" w:rsidP="002E799E">
      <w:pPr>
        <w:numPr>
          <w:ilvl w:val="0"/>
          <w:numId w:val="2"/>
        </w:numPr>
        <w:pBdr>
          <w:top w:val="nil"/>
          <w:left w:val="nil"/>
          <w:bottom w:val="nil"/>
          <w:right w:val="nil"/>
          <w:between w:val="nil"/>
        </w:pBdr>
        <w:tabs>
          <w:tab w:val="left" w:pos="810"/>
        </w:tabs>
        <w:spacing w:after="120" w:line="360" w:lineRule="auto"/>
        <w:ind w:left="0" w:firstLine="0"/>
        <w:rPr>
          <w:rFonts w:ascii="Arial" w:eastAsia="Arial" w:hAnsi="Arial" w:cs="Arial"/>
          <w:color w:val="010000"/>
          <w:sz w:val="20"/>
          <w:szCs w:val="20"/>
        </w:rPr>
      </w:pPr>
      <w:r w:rsidRPr="002E799E">
        <w:rPr>
          <w:rFonts w:ascii="Arial" w:hAnsi="Arial" w:cs="Arial"/>
          <w:color w:val="010000"/>
          <w:sz w:val="20"/>
        </w:rPr>
        <w:t xml:space="preserve">Account owner: Petro Vietnam Phuoc An Port Investment &amp; Operation Joint Stock Company. </w:t>
      </w:r>
    </w:p>
    <w:p w14:paraId="00000012" w14:textId="77777777" w:rsidR="000C41EB" w:rsidRPr="002E799E" w:rsidRDefault="002E799E" w:rsidP="002E799E">
      <w:pPr>
        <w:numPr>
          <w:ilvl w:val="0"/>
          <w:numId w:val="2"/>
        </w:numPr>
        <w:pBdr>
          <w:top w:val="nil"/>
          <w:left w:val="nil"/>
          <w:bottom w:val="nil"/>
          <w:right w:val="nil"/>
          <w:between w:val="nil"/>
        </w:pBdr>
        <w:tabs>
          <w:tab w:val="left" w:pos="810"/>
        </w:tabs>
        <w:spacing w:after="120" w:line="360" w:lineRule="auto"/>
        <w:ind w:left="0" w:firstLine="0"/>
        <w:rPr>
          <w:rFonts w:ascii="Arial" w:eastAsia="Arial" w:hAnsi="Arial" w:cs="Arial"/>
          <w:color w:val="010000"/>
          <w:sz w:val="20"/>
          <w:szCs w:val="20"/>
        </w:rPr>
      </w:pPr>
      <w:r w:rsidRPr="002E799E">
        <w:rPr>
          <w:rFonts w:ascii="Arial" w:hAnsi="Arial" w:cs="Arial"/>
          <w:color w:val="010000"/>
          <w:sz w:val="20"/>
        </w:rPr>
        <w:t>Account number: 128000072732</w:t>
      </w:r>
    </w:p>
    <w:p w14:paraId="00000013" w14:textId="77777777" w:rsidR="000C41EB" w:rsidRPr="002E799E" w:rsidRDefault="002E799E" w:rsidP="002E799E">
      <w:pPr>
        <w:numPr>
          <w:ilvl w:val="0"/>
          <w:numId w:val="2"/>
        </w:numPr>
        <w:pBdr>
          <w:top w:val="nil"/>
          <w:left w:val="nil"/>
          <w:bottom w:val="nil"/>
          <w:right w:val="nil"/>
          <w:between w:val="nil"/>
        </w:pBdr>
        <w:tabs>
          <w:tab w:val="left" w:pos="810"/>
        </w:tabs>
        <w:spacing w:after="120" w:line="360" w:lineRule="auto"/>
        <w:ind w:left="0" w:firstLine="0"/>
        <w:rPr>
          <w:rFonts w:ascii="Arial" w:eastAsia="Arial" w:hAnsi="Arial" w:cs="Arial"/>
          <w:color w:val="010000"/>
          <w:sz w:val="20"/>
          <w:szCs w:val="20"/>
        </w:rPr>
      </w:pPr>
      <w:r w:rsidRPr="002E799E">
        <w:rPr>
          <w:rFonts w:ascii="Arial" w:hAnsi="Arial" w:cs="Arial"/>
          <w:color w:val="010000"/>
          <w:sz w:val="20"/>
        </w:rPr>
        <w:t>Opened at: Vietinbank - Nhon Trach Branch</w:t>
      </w:r>
    </w:p>
    <w:p w14:paraId="00000014" w14:textId="1E6EB2A7" w:rsidR="000C41EB" w:rsidRPr="002E799E" w:rsidRDefault="002E799E" w:rsidP="002E799E">
      <w:pPr>
        <w:numPr>
          <w:ilvl w:val="0"/>
          <w:numId w:val="2"/>
        </w:numPr>
        <w:pBdr>
          <w:top w:val="nil"/>
          <w:left w:val="nil"/>
          <w:bottom w:val="nil"/>
          <w:right w:val="nil"/>
          <w:between w:val="nil"/>
        </w:pBdr>
        <w:tabs>
          <w:tab w:val="left" w:pos="810"/>
        </w:tabs>
        <w:spacing w:after="120" w:line="360" w:lineRule="auto"/>
        <w:ind w:left="0" w:firstLine="0"/>
        <w:rPr>
          <w:rFonts w:ascii="Arial" w:eastAsia="Arial" w:hAnsi="Arial" w:cs="Arial"/>
          <w:color w:val="010000"/>
          <w:sz w:val="20"/>
          <w:szCs w:val="20"/>
        </w:rPr>
      </w:pPr>
      <w:r w:rsidRPr="002E799E">
        <w:rPr>
          <w:rFonts w:ascii="Arial" w:hAnsi="Arial" w:cs="Arial"/>
          <w:color w:val="010000"/>
          <w:sz w:val="20"/>
        </w:rPr>
        <w:t xml:space="preserve">Remittance information: “Payment for buying... (Quantity) shares from... (Name of investor)”. </w:t>
      </w:r>
    </w:p>
    <w:p w14:paraId="00000015" w14:textId="77777777" w:rsidR="000C41EB" w:rsidRPr="002E799E" w:rsidRDefault="002E799E" w:rsidP="002E799E">
      <w:pPr>
        <w:keepNext/>
        <w:numPr>
          <w:ilvl w:val="0"/>
          <w:numId w:val="3"/>
        </w:numPr>
        <w:pBdr>
          <w:top w:val="nil"/>
          <w:left w:val="nil"/>
          <w:bottom w:val="nil"/>
          <w:right w:val="nil"/>
          <w:between w:val="nil"/>
        </w:pBdr>
        <w:tabs>
          <w:tab w:val="left" w:pos="810"/>
          <w:tab w:val="left" w:pos="1920"/>
        </w:tabs>
        <w:spacing w:after="120" w:line="360" w:lineRule="auto"/>
        <w:rPr>
          <w:rFonts w:ascii="Arial" w:eastAsia="Arial" w:hAnsi="Arial" w:cs="Arial"/>
          <w:color w:val="010000"/>
          <w:sz w:val="20"/>
          <w:szCs w:val="20"/>
        </w:rPr>
      </w:pPr>
      <w:r w:rsidRPr="002E799E">
        <w:rPr>
          <w:rFonts w:ascii="Arial" w:hAnsi="Arial" w:cs="Arial"/>
          <w:color w:val="010000"/>
          <w:sz w:val="20"/>
        </w:rPr>
        <w:t>Assign the General Manager/the Legal Representative to implement affiliated tasks</w:t>
      </w:r>
    </w:p>
    <w:p w14:paraId="00000016" w14:textId="77777777" w:rsidR="000C41EB" w:rsidRPr="002E799E" w:rsidRDefault="002E799E" w:rsidP="002E799E">
      <w:pPr>
        <w:numPr>
          <w:ilvl w:val="0"/>
          <w:numId w:val="4"/>
        </w:numPr>
        <w:pBdr>
          <w:top w:val="nil"/>
          <w:left w:val="nil"/>
          <w:bottom w:val="nil"/>
          <w:right w:val="nil"/>
          <w:between w:val="nil"/>
        </w:pBdr>
        <w:tabs>
          <w:tab w:val="left" w:pos="810"/>
          <w:tab w:val="left" w:pos="1823"/>
        </w:tabs>
        <w:spacing w:after="120" w:line="360" w:lineRule="auto"/>
        <w:rPr>
          <w:rFonts w:ascii="Arial" w:eastAsia="Arial" w:hAnsi="Arial" w:cs="Arial"/>
          <w:color w:val="010000"/>
          <w:sz w:val="20"/>
          <w:szCs w:val="20"/>
        </w:rPr>
      </w:pPr>
      <w:r w:rsidRPr="002E799E">
        <w:rPr>
          <w:rFonts w:ascii="Arial" w:hAnsi="Arial" w:cs="Arial"/>
          <w:color w:val="010000"/>
          <w:sz w:val="20"/>
        </w:rPr>
        <w:t xml:space="preserve">Send registration notice and make payment to purchase shares for investors. </w:t>
      </w:r>
    </w:p>
    <w:p w14:paraId="00000017" w14:textId="77777777" w:rsidR="000C41EB" w:rsidRPr="002E799E" w:rsidRDefault="002E799E" w:rsidP="002E799E">
      <w:pPr>
        <w:numPr>
          <w:ilvl w:val="0"/>
          <w:numId w:val="4"/>
        </w:numPr>
        <w:pBdr>
          <w:top w:val="nil"/>
          <w:left w:val="nil"/>
          <w:bottom w:val="nil"/>
          <w:right w:val="nil"/>
          <w:between w:val="nil"/>
        </w:pBdr>
        <w:tabs>
          <w:tab w:val="left" w:pos="810"/>
          <w:tab w:val="left" w:pos="1823"/>
        </w:tabs>
        <w:spacing w:after="120" w:line="360" w:lineRule="auto"/>
        <w:rPr>
          <w:rFonts w:ascii="Arial" w:eastAsia="Arial" w:hAnsi="Arial" w:cs="Arial"/>
          <w:color w:val="010000"/>
          <w:sz w:val="20"/>
          <w:szCs w:val="20"/>
        </w:rPr>
      </w:pPr>
      <w:r w:rsidRPr="002E799E">
        <w:rPr>
          <w:rFonts w:ascii="Arial" w:hAnsi="Arial" w:cs="Arial"/>
          <w:color w:val="010000"/>
          <w:sz w:val="20"/>
        </w:rPr>
        <w:t xml:space="preserve">Report results of offering shares to the Company’s Board of Directors. </w:t>
      </w:r>
    </w:p>
    <w:p w14:paraId="00000018" w14:textId="238CA9B9" w:rsidR="000C41EB" w:rsidRPr="002E799E" w:rsidRDefault="002E799E" w:rsidP="002E799E">
      <w:pPr>
        <w:numPr>
          <w:ilvl w:val="0"/>
          <w:numId w:val="4"/>
        </w:numPr>
        <w:pBdr>
          <w:top w:val="nil"/>
          <w:left w:val="nil"/>
          <w:bottom w:val="nil"/>
          <w:right w:val="nil"/>
          <w:between w:val="nil"/>
        </w:pBdr>
        <w:tabs>
          <w:tab w:val="left" w:pos="810"/>
          <w:tab w:val="left" w:pos="1823"/>
        </w:tabs>
        <w:spacing w:after="120" w:line="360" w:lineRule="auto"/>
        <w:rPr>
          <w:rFonts w:ascii="Arial" w:eastAsia="Arial" w:hAnsi="Arial" w:cs="Arial"/>
          <w:color w:val="010000"/>
          <w:sz w:val="20"/>
          <w:szCs w:val="20"/>
        </w:rPr>
      </w:pPr>
      <w:r w:rsidRPr="002E799E">
        <w:rPr>
          <w:rFonts w:ascii="Arial" w:hAnsi="Arial" w:cs="Arial"/>
          <w:color w:val="010000"/>
          <w:sz w:val="20"/>
        </w:rPr>
        <w:lastRenderedPageBreak/>
        <w:t xml:space="preserve">Establish the report on the results of offering shares when all investors make full payment to purchase shares or the date of payment comes to an end in accordance with notice sent to investors in compliance with legal regulations. </w:t>
      </w:r>
    </w:p>
    <w:p w14:paraId="00000019" w14:textId="1D625E31" w:rsidR="000C41EB" w:rsidRPr="002E799E" w:rsidRDefault="002E799E" w:rsidP="002E799E">
      <w:pPr>
        <w:numPr>
          <w:ilvl w:val="0"/>
          <w:numId w:val="4"/>
        </w:numPr>
        <w:pBdr>
          <w:top w:val="nil"/>
          <w:left w:val="nil"/>
          <w:bottom w:val="nil"/>
          <w:right w:val="nil"/>
          <w:between w:val="nil"/>
        </w:pBdr>
        <w:tabs>
          <w:tab w:val="left" w:pos="810"/>
          <w:tab w:val="left" w:pos="1823"/>
        </w:tabs>
        <w:spacing w:after="120" w:line="360" w:lineRule="auto"/>
        <w:rPr>
          <w:rFonts w:ascii="Arial" w:eastAsia="Arial" w:hAnsi="Arial" w:cs="Arial"/>
          <w:color w:val="010000"/>
          <w:sz w:val="20"/>
          <w:szCs w:val="20"/>
        </w:rPr>
      </w:pPr>
      <w:r w:rsidRPr="002E799E">
        <w:rPr>
          <w:rFonts w:ascii="Arial" w:hAnsi="Arial" w:cs="Arial"/>
          <w:color w:val="010000"/>
          <w:sz w:val="20"/>
        </w:rPr>
        <w:t xml:space="preserve">Implement other affiliated tasks to the share issuance of private placement to increase charter capital. </w:t>
      </w:r>
    </w:p>
    <w:p w14:paraId="0000001A" w14:textId="77777777" w:rsidR="000C41EB" w:rsidRPr="002E799E" w:rsidRDefault="002E799E" w:rsidP="002E799E">
      <w:pPr>
        <w:pBdr>
          <w:top w:val="nil"/>
          <w:left w:val="nil"/>
          <w:bottom w:val="nil"/>
          <w:right w:val="nil"/>
          <w:between w:val="nil"/>
        </w:pBdr>
        <w:tabs>
          <w:tab w:val="left" w:pos="810"/>
        </w:tabs>
        <w:spacing w:after="120" w:line="360" w:lineRule="auto"/>
        <w:rPr>
          <w:rFonts w:ascii="Arial" w:eastAsia="Arial" w:hAnsi="Arial" w:cs="Arial"/>
          <w:color w:val="010000"/>
          <w:sz w:val="20"/>
          <w:szCs w:val="20"/>
        </w:rPr>
        <w:sectPr w:rsidR="000C41EB" w:rsidRPr="002E799E" w:rsidSect="002E799E">
          <w:pgSz w:w="11906" w:h="16838"/>
          <w:pgMar w:top="1440" w:right="1440" w:bottom="1440" w:left="1440" w:header="0" w:footer="3" w:gutter="0"/>
          <w:pgNumType w:start="1"/>
          <w:cols w:space="720"/>
          <w:docGrid w:linePitch="326"/>
        </w:sectPr>
      </w:pPr>
      <w:r w:rsidRPr="002E799E">
        <w:rPr>
          <w:rFonts w:ascii="Arial" w:hAnsi="Arial" w:cs="Arial"/>
          <w:color w:val="010000"/>
          <w:sz w:val="20"/>
        </w:rPr>
        <w:t>Article 2: This Resolution takes effect from the date of its signing. Members of the Board of Directors, the Board of Management and investors in the list take responsibility for implementing this Resolution./.</w:t>
      </w:r>
    </w:p>
    <w:p w14:paraId="0000001B" w14:textId="77777777" w:rsidR="000C41EB" w:rsidRPr="002E799E" w:rsidRDefault="000C41EB" w:rsidP="002E799E">
      <w:pPr>
        <w:tabs>
          <w:tab w:val="left" w:pos="810"/>
        </w:tabs>
        <w:spacing w:after="120" w:line="360" w:lineRule="auto"/>
        <w:rPr>
          <w:rFonts w:ascii="Arial" w:eastAsia="Arial" w:hAnsi="Arial" w:cs="Arial"/>
          <w:color w:val="010000"/>
          <w:sz w:val="20"/>
          <w:szCs w:val="20"/>
        </w:rPr>
      </w:pPr>
    </w:p>
    <w:sectPr w:rsidR="000C41EB" w:rsidRPr="002E799E" w:rsidSect="002E799E">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D0AC3"/>
    <w:multiLevelType w:val="multilevel"/>
    <w:tmpl w:val="931E75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EBB2E7E"/>
    <w:multiLevelType w:val="multilevel"/>
    <w:tmpl w:val="10B4128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A361D52"/>
    <w:multiLevelType w:val="multilevel"/>
    <w:tmpl w:val="1BEC858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8722CFA"/>
    <w:multiLevelType w:val="multilevel"/>
    <w:tmpl w:val="A5FE7A0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EB"/>
    <w:rsid w:val="000C41EB"/>
    <w:rsid w:val="002864BA"/>
    <w:rsid w:val="002E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59435"/>
  <w15:docId w15:val="{DBFB9355-2000-4A77-99DC-FC9A464E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ind w:left="320" w:firstLine="340"/>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imes New Roman" w:eastAsia="Times New Roman" w:hAnsi="Times New Roman" w:cs="Times New Roman"/>
      <w:b/>
      <w:bCs/>
      <w:sz w:val="20"/>
      <w:szCs w:val="20"/>
    </w:rPr>
  </w:style>
  <w:style w:type="paragraph" w:styleId="NormalWeb">
    <w:name w:val="Normal (Web)"/>
    <w:basedOn w:val="Normal"/>
    <w:uiPriority w:val="99"/>
    <w:unhideWhenUsed/>
    <w:rsid w:val="00696298"/>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NY6+v3u4/WpKCjMcLjDFmycDw==">CgMxLjA4AHIhMXJDMzdSVUE1UGtlbW4tVG9uSEI5eWtSSURXeGs4OU8t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2024-07-17T03:13:00Z</dcterms:created>
  <dcterms:modified xsi:type="dcterms:W3CDTF">2024-07-17T03:13:00Z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b7ccf4cf8895628c39cf3c19c90af5e79e4f1d9799794d4402fae4046b53900e</vt:lpwstr>
  </property>
</Properties>
</file>