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C2" w:rsidRPr="00DB7697" w:rsidRDefault="00DB7697" w:rsidP="005959C5">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DB7697">
        <w:rPr>
          <w:rFonts w:ascii="Arial" w:hAnsi="Arial" w:cs="Arial"/>
          <w:b/>
          <w:color w:val="010000"/>
          <w:sz w:val="20"/>
        </w:rPr>
        <w:t>AAS: Board Resolution</w:t>
      </w:r>
    </w:p>
    <w:p w:rsidR="002340C2" w:rsidRPr="00DB7697" w:rsidRDefault="00DB7697" w:rsidP="005959C5">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On July 16, 2024, SmartInvest Securities Joint Stock Company announced Resolution No. 17/2024/NQ-HDQT as follows:</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Article 1: Approve changing the address of SmartInvest Securities Joint Stock Company- Ho Chi Minh Branch as follows:</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Branch address after changing:</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No. , Alley, Lane, Streets/Group/Hamlet/Village: Room 1206, Diamond Plaza Complex Building, 34 Le Duan</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Commune/Ward/Town: Ben Nghe Ward</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District/Town/Provincial City: District 1</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Province/City: Ho Chi Minh City</w:t>
      </w:r>
    </w:p>
    <w:p w:rsidR="002340C2" w:rsidRPr="00DB7697" w:rsidRDefault="00DB7697" w:rsidP="005959C5">
      <w:pPr>
        <w:pBdr>
          <w:top w:val="nil"/>
          <w:left w:val="nil"/>
          <w:bottom w:val="nil"/>
          <w:right w:val="nil"/>
          <w:between w:val="nil"/>
        </w:pBdr>
        <w:tabs>
          <w:tab w:val="left" w:pos="4433"/>
        </w:tabs>
        <w:spacing w:after="120" w:line="360" w:lineRule="auto"/>
        <w:jc w:val="both"/>
        <w:rPr>
          <w:rFonts w:ascii="Arial" w:eastAsia="Arial" w:hAnsi="Arial" w:cs="Arial"/>
          <w:color w:val="010000"/>
          <w:sz w:val="20"/>
          <w:szCs w:val="20"/>
        </w:rPr>
      </w:pPr>
      <w:r w:rsidRPr="00DB7697">
        <w:rPr>
          <w:rFonts w:ascii="Arial" w:hAnsi="Arial" w:cs="Arial"/>
          <w:color w:val="010000"/>
          <w:sz w:val="20"/>
        </w:rPr>
        <w:t>Tel: 1900181 Fax (if any):...........</w:t>
      </w:r>
    </w:p>
    <w:p w:rsidR="002340C2" w:rsidRPr="00DB7697" w:rsidRDefault="00DB7697" w:rsidP="005959C5">
      <w:pPr>
        <w:pBdr>
          <w:top w:val="nil"/>
          <w:left w:val="nil"/>
          <w:bottom w:val="nil"/>
          <w:right w:val="nil"/>
          <w:between w:val="nil"/>
        </w:pBdr>
        <w:tabs>
          <w:tab w:val="left" w:pos="4433"/>
        </w:tabs>
        <w:spacing w:after="120" w:line="360" w:lineRule="auto"/>
        <w:jc w:val="both"/>
        <w:rPr>
          <w:rFonts w:ascii="Arial" w:eastAsia="Arial" w:hAnsi="Arial" w:cs="Arial"/>
          <w:color w:val="010000"/>
          <w:sz w:val="20"/>
          <w:szCs w:val="20"/>
        </w:rPr>
      </w:pPr>
      <w:r w:rsidRPr="00DB7697">
        <w:rPr>
          <w:rFonts w:ascii="Arial" w:hAnsi="Arial" w:cs="Arial"/>
          <w:color w:val="010000"/>
          <w:sz w:val="20"/>
        </w:rPr>
        <w:t>Email (if any):............</w:t>
      </w:r>
      <w:r w:rsidRPr="00DB7697">
        <w:rPr>
          <w:rFonts w:ascii="Arial" w:hAnsi="Arial" w:cs="Arial"/>
          <w:color w:val="010000"/>
          <w:sz w:val="20"/>
        </w:rPr>
        <w:tab/>
        <w:t>Website (if any):...........</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Article 2: Approve the notification on changing the Branch's tax registration information as follows:</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Address to receive tax notification after changing: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8464"/>
        <w:gridCol w:w="16"/>
      </w:tblGrid>
      <w:tr w:rsidR="002340C2" w:rsidRPr="00DB7697" w:rsidTr="00323947">
        <w:trPr>
          <w:gridAfter w:val="1"/>
          <w:wAfter w:w="9" w:type="pct"/>
        </w:trPr>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No.</w:t>
            </w:r>
          </w:p>
        </w:tc>
        <w:tc>
          <w:tcPr>
            <w:tcW w:w="4694" w:type="pct"/>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Tax registration information criteria</w:t>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1</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Information of the Chief Accountant/Person in charge of accounting (if any):</w:t>
            </w:r>
          </w:p>
          <w:p w:rsidR="002340C2" w:rsidRPr="00DB7697" w:rsidRDefault="00DB7697" w:rsidP="005959C5">
            <w:pPr>
              <w:pBdr>
                <w:top w:val="nil"/>
                <w:left w:val="nil"/>
                <w:bottom w:val="nil"/>
                <w:right w:val="nil"/>
                <w:between w:val="nil"/>
              </w:pBdr>
              <w:tabs>
                <w:tab w:val="left" w:pos="7394"/>
              </w:tabs>
              <w:spacing w:after="120" w:line="360" w:lineRule="auto"/>
              <w:jc w:val="both"/>
              <w:rPr>
                <w:rFonts w:ascii="Arial" w:eastAsia="Arial" w:hAnsi="Arial" w:cs="Arial"/>
                <w:color w:val="010000"/>
                <w:sz w:val="20"/>
                <w:szCs w:val="20"/>
              </w:rPr>
            </w:pPr>
            <w:r w:rsidRPr="00DB7697">
              <w:rPr>
                <w:rFonts w:ascii="Arial" w:hAnsi="Arial" w:cs="Arial"/>
                <w:color w:val="010000"/>
                <w:sz w:val="20"/>
              </w:rPr>
              <w:t xml:space="preserve">Full name of the Chief Accountant/Person in charge of accounting:................. </w:t>
            </w:r>
            <w:r w:rsidRPr="00DB7697">
              <w:rPr>
                <w:rFonts w:ascii="Arial" w:hAnsi="Arial" w:cs="Arial"/>
                <w:color w:val="010000"/>
                <w:sz w:val="20"/>
              </w:rPr>
              <w:tab/>
            </w:r>
          </w:p>
          <w:p w:rsidR="002340C2" w:rsidRPr="00DB7697" w:rsidRDefault="00DB7697" w:rsidP="005959C5">
            <w:pPr>
              <w:pBdr>
                <w:top w:val="nil"/>
                <w:left w:val="nil"/>
                <w:bottom w:val="nil"/>
                <w:right w:val="nil"/>
                <w:between w:val="nil"/>
              </w:pBdr>
              <w:tabs>
                <w:tab w:val="left" w:pos="7398"/>
              </w:tabs>
              <w:spacing w:after="120" w:line="360" w:lineRule="auto"/>
              <w:jc w:val="both"/>
              <w:rPr>
                <w:rFonts w:ascii="Arial" w:eastAsia="Arial" w:hAnsi="Arial" w:cs="Arial"/>
                <w:color w:val="010000"/>
                <w:sz w:val="20"/>
                <w:szCs w:val="20"/>
              </w:rPr>
            </w:pPr>
            <w:r w:rsidRPr="00DB7697">
              <w:rPr>
                <w:rFonts w:ascii="Arial" w:hAnsi="Arial" w:cs="Arial"/>
                <w:color w:val="010000"/>
                <w:sz w:val="20"/>
              </w:rPr>
              <w:t xml:space="preserve">Tel:................... </w:t>
            </w:r>
            <w:r w:rsidRPr="00DB7697">
              <w:rPr>
                <w:rFonts w:ascii="Arial" w:hAnsi="Arial" w:cs="Arial"/>
                <w:color w:val="010000"/>
                <w:sz w:val="20"/>
              </w:rPr>
              <w:tab/>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2</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Address to receive tax notification:</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No. , Alley, Lane, Streets/Group/Hamlet/Village: Room 1206, Diamond Plaza Complex Building, 34 Le Duan</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Commune/Ward/Town: Ben Nghe Ward</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District/Town/Provincial City: District 1</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Province/City: Hanoi</w:t>
            </w:r>
          </w:p>
          <w:p w:rsidR="002340C2" w:rsidRPr="00DB7697" w:rsidRDefault="00DB7697" w:rsidP="005959C5">
            <w:pPr>
              <w:pBdr>
                <w:top w:val="nil"/>
                <w:left w:val="nil"/>
                <w:bottom w:val="nil"/>
                <w:right w:val="nil"/>
                <w:between w:val="nil"/>
              </w:pBdr>
              <w:tabs>
                <w:tab w:val="left" w:pos="3236"/>
                <w:tab w:val="left" w:pos="7416"/>
              </w:tabs>
              <w:spacing w:after="120" w:line="360" w:lineRule="auto"/>
              <w:jc w:val="both"/>
              <w:rPr>
                <w:rFonts w:ascii="Arial" w:eastAsia="Arial" w:hAnsi="Arial" w:cs="Arial"/>
                <w:color w:val="010000"/>
                <w:sz w:val="20"/>
                <w:szCs w:val="20"/>
              </w:rPr>
            </w:pPr>
            <w:r w:rsidRPr="00DB7697">
              <w:rPr>
                <w:rFonts w:ascii="Arial" w:hAnsi="Arial" w:cs="Arial"/>
                <w:color w:val="010000"/>
                <w:sz w:val="20"/>
              </w:rPr>
              <w:t>Tel: 1900181                              Fax (if any):...........</w:t>
            </w:r>
            <w:r w:rsidRPr="00DB7697">
              <w:rPr>
                <w:rFonts w:ascii="Arial" w:hAnsi="Arial" w:cs="Arial"/>
                <w:color w:val="010000"/>
                <w:sz w:val="20"/>
              </w:rPr>
              <w:tab/>
            </w:r>
          </w:p>
          <w:p w:rsidR="002340C2" w:rsidRPr="00DB7697" w:rsidRDefault="00DB7697" w:rsidP="005959C5">
            <w:pPr>
              <w:pBdr>
                <w:top w:val="nil"/>
                <w:left w:val="nil"/>
                <w:bottom w:val="nil"/>
                <w:right w:val="nil"/>
                <w:between w:val="nil"/>
              </w:pBdr>
              <w:tabs>
                <w:tab w:val="left" w:pos="7398"/>
              </w:tabs>
              <w:spacing w:after="120" w:line="360" w:lineRule="auto"/>
              <w:jc w:val="both"/>
              <w:rPr>
                <w:rFonts w:ascii="Arial" w:eastAsia="Arial" w:hAnsi="Arial" w:cs="Arial"/>
                <w:color w:val="010000"/>
                <w:sz w:val="20"/>
                <w:szCs w:val="20"/>
              </w:rPr>
            </w:pPr>
            <w:r w:rsidRPr="00DB7697">
              <w:rPr>
                <w:rFonts w:ascii="Arial" w:hAnsi="Arial" w:cs="Arial"/>
                <w:color w:val="010000"/>
                <w:sz w:val="20"/>
              </w:rPr>
              <w:t xml:space="preserve">Email (if any):............ </w:t>
            </w:r>
            <w:r w:rsidRPr="00DB7697">
              <w:rPr>
                <w:rFonts w:ascii="Arial" w:hAnsi="Arial" w:cs="Arial"/>
                <w:color w:val="010000"/>
                <w:sz w:val="20"/>
              </w:rPr>
              <w:tab/>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3</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tabs>
                <w:tab w:val="left" w:pos="5519"/>
                <w:tab w:val="left" w:pos="6084"/>
                <w:tab w:val="left" w:pos="6649"/>
              </w:tabs>
              <w:spacing w:after="120" w:line="360" w:lineRule="auto"/>
              <w:jc w:val="both"/>
              <w:rPr>
                <w:rFonts w:ascii="Arial" w:eastAsia="Arial" w:hAnsi="Arial" w:cs="Arial"/>
                <w:color w:val="010000"/>
                <w:sz w:val="20"/>
                <w:szCs w:val="20"/>
              </w:rPr>
            </w:pPr>
            <w:r w:rsidRPr="00DB7697">
              <w:rPr>
                <w:rFonts w:ascii="Arial" w:hAnsi="Arial" w:cs="Arial"/>
                <w:color w:val="010000"/>
                <w:sz w:val="20"/>
              </w:rPr>
              <w:t>Date of commencement of operation</w:t>
            </w:r>
            <w:r w:rsidRPr="00DB7697">
              <w:rPr>
                <w:rFonts w:ascii="Arial" w:hAnsi="Arial" w:cs="Arial"/>
                <w:color w:val="010000"/>
                <w:sz w:val="20"/>
                <w:vertAlign w:val="superscript"/>
              </w:rPr>
              <w:t>1</w:t>
            </w:r>
            <w:r w:rsidRPr="00DB7697">
              <w:rPr>
                <w:rFonts w:ascii="Arial" w:hAnsi="Arial" w:cs="Arial"/>
                <w:color w:val="010000"/>
                <w:sz w:val="20"/>
              </w:rPr>
              <w:t xml:space="preserve"> (in case the branch/representative office/business location is expected to begin operations from the date of issuance of the Operation Registration Certificate, this content does not need to be declared):</w:t>
            </w:r>
            <w:r w:rsidRPr="00DB7697">
              <w:rPr>
                <w:rFonts w:ascii="Arial" w:hAnsi="Arial" w:cs="Arial"/>
                <w:color w:val="010000"/>
                <w:sz w:val="20"/>
              </w:rPr>
              <w:tab/>
            </w:r>
            <w:r w:rsidRPr="00DB7697">
              <w:rPr>
                <w:rFonts w:ascii="Arial" w:hAnsi="Arial" w:cs="Arial"/>
                <w:color w:val="010000"/>
                <w:sz w:val="20"/>
              </w:rPr>
              <w:tab/>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4</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 xml:space="preserve">Form of accounting (Mark an X in one of the two boxes "Independent accounting" or "Dependent </w:t>
            </w:r>
            <w:r w:rsidRPr="00DB7697">
              <w:rPr>
                <w:rFonts w:ascii="Arial" w:hAnsi="Arial" w:cs="Arial"/>
                <w:color w:val="010000"/>
                <w:sz w:val="20"/>
              </w:rPr>
              <w:lastRenderedPageBreak/>
              <w:t>accounting". In case the box "Independent accounting" is marked and is required to prepare and send the Consolidated Financial Statements to the competent authority according to regulations, then additionally mark the box "Have the Consolidated Financial Statements"):</w:t>
            </w:r>
          </w:p>
          <w:p w:rsidR="002340C2" w:rsidRPr="00DB7697" w:rsidRDefault="00DB7697" w:rsidP="005959C5">
            <w:pPr>
              <w:pBdr>
                <w:top w:val="nil"/>
                <w:left w:val="nil"/>
                <w:bottom w:val="nil"/>
                <w:right w:val="nil"/>
                <w:between w:val="nil"/>
              </w:pBdr>
              <w:tabs>
                <w:tab w:val="left" w:pos="3985"/>
              </w:tabs>
              <w:spacing w:after="120" w:line="360" w:lineRule="auto"/>
              <w:jc w:val="both"/>
              <w:rPr>
                <w:rFonts w:ascii="Arial" w:eastAsia="Arial" w:hAnsi="Arial" w:cs="Arial"/>
                <w:color w:val="010000"/>
                <w:sz w:val="20"/>
                <w:szCs w:val="20"/>
              </w:rPr>
            </w:pPr>
            <w:r w:rsidRPr="00DB7697">
              <w:rPr>
                <w:rFonts w:ascii="Arial" w:hAnsi="Arial" w:cs="Arial"/>
                <w:color w:val="010000"/>
                <w:sz w:val="20"/>
              </w:rPr>
              <w:t>Independent accounting 󠄇󠄇                      Have the Consolidated Financial Statements  󠄇󠄇</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Dependent accounting 󠄇󠄇</w:t>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lastRenderedPageBreak/>
              <w:t>5</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Fiscal year;</w:t>
            </w:r>
          </w:p>
          <w:p w:rsidR="002340C2" w:rsidRPr="00DB7697" w:rsidRDefault="00DB7697" w:rsidP="005959C5">
            <w:pPr>
              <w:pBdr>
                <w:top w:val="nil"/>
                <w:left w:val="nil"/>
                <w:bottom w:val="nil"/>
                <w:right w:val="nil"/>
                <w:between w:val="nil"/>
              </w:pBdr>
              <w:tabs>
                <w:tab w:val="left" w:pos="2207"/>
                <w:tab w:val="left" w:pos="2776"/>
                <w:tab w:val="left" w:pos="4302"/>
                <w:tab w:val="left" w:pos="4874"/>
              </w:tabs>
              <w:spacing w:after="120" w:line="360" w:lineRule="auto"/>
              <w:jc w:val="both"/>
              <w:rPr>
                <w:rFonts w:ascii="Arial" w:eastAsia="Arial" w:hAnsi="Arial" w:cs="Arial"/>
                <w:color w:val="010000"/>
                <w:sz w:val="20"/>
                <w:szCs w:val="20"/>
              </w:rPr>
            </w:pPr>
            <w:r w:rsidRPr="00DB7697">
              <w:rPr>
                <w:rFonts w:ascii="Arial" w:hAnsi="Arial" w:cs="Arial"/>
                <w:color w:val="010000"/>
                <w:sz w:val="20"/>
              </w:rPr>
              <w:t>Applicable from.../... to.../...</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(write the start and end date and month of the accounting year)</w:t>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6</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tabs>
                <w:tab w:val="left" w:pos="7412"/>
              </w:tabs>
              <w:spacing w:after="120" w:line="360" w:lineRule="auto"/>
              <w:jc w:val="both"/>
              <w:rPr>
                <w:rFonts w:ascii="Arial" w:eastAsia="Arial" w:hAnsi="Arial" w:cs="Arial"/>
                <w:color w:val="010000"/>
                <w:sz w:val="20"/>
                <w:szCs w:val="20"/>
              </w:rPr>
            </w:pPr>
            <w:r w:rsidRPr="00DB7697">
              <w:rPr>
                <w:rFonts w:ascii="Arial" w:hAnsi="Arial" w:cs="Arial"/>
                <w:color w:val="010000"/>
                <w:sz w:val="20"/>
              </w:rPr>
              <w:t>Total average number of employees (Expected):..............</w:t>
            </w:r>
            <w:r w:rsidRPr="00DB7697">
              <w:rPr>
                <w:rFonts w:ascii="Arial" w:hAnsi="Arial" w:cs="Arial"/>
                <w:color w:val="010000"/>
                <w:sz w:val="20"/>
              </w:rPr>
              <w:tab/>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7</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 xml:space="preserve">Operating under BOT/BTO/BT/BOO, BLT, BTL., O&amp;M projects: </w:t>
            </w:r>
          </w:p>
          <w:p w:rsidR="002340C2" w:rsidRPr="00DB7697" w:rsidRDefault="00DB7697" w:rsidP="005959C5">
            <w:pPr>
              <w:pBdr>
                <w:top w:val="nil"/>
                <w:left w:val="nil"/>
                <w:bottom w:val="nil"/>
                <w:right w:val="nil"/>
                <w:between w:val="nil"/>
              </w:pBdr>
              <w:tabs>
                <w:tab w:val="left" w:pos="3294"/>
              </w:tabs>
              <w:spacing w:after="120" w:line="360" w:lineRule="auto"/>
              <w:jc w:val="both"/>
              <w:rPr>
                <w:rFonts w:ascii="Arial" w:eastAsia="Arial" w:hAnsi="Arial" w:cs="Arial"/>
                <w:color w:val="010000"/>
                <w:sz w:val="20"/>
                <w:szCs w:val="20"/>
              </w:rPr>
            </w:pPr>
            <w:r w:rsidRPr="00DB7697">
              <w:rPr>
                <w:rFonts w:ascii="Arial" w:hAnsi="Arial" w:cs="Arial"/>
                <w:color w:val="010000"/>
                <w:sz w:val="20"/>
              </w:rPr>
              <w:t>Yes 󠄇󠄇            No 󠄇󠄇</w:t>
            </w:r>
          </w:p>
        </w:tc>
      </w:tr>
      <w:tr w:rsidR="002340C2" w:rsidRPr="00DB7697" w:rsidTr="00323947">
        <w:tc>
          <w:tcPr>
            <w:tcW w:w="297" w:type="pct"/>
            <w:shd w:val="clear" w:color="auto" w:fill="auto"/>
            <w:tcMar>
              <w:top w:w="0" w:type="dxa"/>
              <w:bottom w:w="0" w:type="dxa"/>
            </w:tcMar>
            <w:vAlign w:val="center"/>
          </w:tcPr>
          <w:p w:rsidR="002340C2" w:rsidRPr="00DB7697" w:rsidRDefault="00DB7697" w:rsidP="00323947">
            <w:pPr>
              <w:pBdr>
                <w:top w:val="nil"/>
                <w:left w:val="nil"/>
                <w:bottom w:val="nil"/>
                <w:right w:val="nil"/>
                <w:between w:val="nil"/>
              </w:pBdr>
              <w:spacing w:after="120" w:line="360" w:lineRule="auto"/>
              <w:jc w:val="center"/>
              <w:rPr>
                <w:rFonts w:ascii="Arial" w:eastAsia="Arial" w:hAnsi="Arial" w:cs="Arial"/>
                <w:color w:val="010000"/>
                <w:sz w:val="20"/>
                <w:szCs w:val="20"/>
              </w:rPr>
            </w:pPr>
            <w:r w:rsidRPr="00DB7697">
              <w:rPr>
                <w:rFonts w:ascii="Arial" w:hAnsi="Arial" w:cs="Arial"/>
                <w:color w:val="010000"/>
                <w:sz w:val="20"/>
              </w:rPr>
              <w:t>8</w:t>
            </w:r>
          </w:p>
        </w:tc>
        <w:tc>
          <w:tcPr>
            <w:tcW w:w="4703" w:type="pct"/>
            <w:gridSpan w:val="2"/>
            <w:shd w:val="clear" w:color="auto" w:fill="auto"/>
            <w:tcMar>
              <w:top w:w="0" w:type="dxa"/>
              <w:bottom w:w="0" w:type="dxa"/>
            </w:tcMar>
            <w:vAlign w:val="center"/>
          </w:tcPr>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VAT calculation method (choose from 4 methods)</w:t>
            </w:r>
          </w:p>
          <w:p w:rsidR="002340C2" w:rsidRPr="00DB7697" w:rsidRDefault="00DB7697" w:rsidP="005959C5">
            <w:pPr>
              <w:pBdr>
                <w:top w:val="nil"/>
                <w:left w:val="nil"/>
                <w:bottom w:val="nil"/>
                <w:right w:val="nil"/>
                <w:between w:val="nil"/>
              </w:pBdr>
              <w:tabs>
                <w:tab w:val="left" w:pos="3006"/>
              </w:tabs>
              <w:spacing w:after="120" w:line="360" w:lineRule="auto"/>
              <w:jc w:val="both"/>
              <w:rPr>
                <w:rFonts w:ascii="Arial" w:eastAsia="Arial" w:hAnsi="Arial" w:cs="Arial"/>
                <w:color w:val="010000"/>
                <w:sz w:val="20"/>
                <w:szCs w:val="20"/>
              </w:rPr>
            </w:pPr>
            <w:r w:rsidRPr="00DB7697">
              <w:rPr>
                <w:rFonts w:ascii="Arial" w:hAnsi="Arial" w:cs="Arial"/>
                <w:color w:val="010000"/>
                <w:sz w:val="20"/>
              </w:rPr>
              <w:t>Deduction  󠄇󠄇</w:t>
            </w:r>
          </w:p>
          <w:p w:rsidR="002340C2" w:rsidRPr="00DB7697" w:rsidRDefault="00DB7697" w:rsidP="005959C5">
            <w:pPr>
              <w:pBdr>
                <w:top w:val="nil"/>
                <w:left w:val="nil"/>
                <w:bottom w:val="nil"/>
                <w:right w:val="nil"/>
                <w:between w:val="nil"/>
              </w:pBdr>
              <w:tabs>
                <w:tab w:val="left" w:pos="3028"/>
              </w:tabs>
              <w:spacing w:after="120" w:line="360" w:lineRule="auto"/>
              <w:jc w:val="both"/>
              <w:rPr>
                <w:rFonts w:ascii="Arial" w:eastAsia="Arial" w:hAnsi="Arial" w:cs="Arial"/>
                <w:color w:val="010000"/>
                <w:sz w:val="20"/>
                <w:szCs w:val="20"/>
              </w:rPr>
            </w:pPr>
            <w:r w:rsidRPr="00DB7697">
              <w:rPr>
                <w:rFonts w:ascii="Arial" w:hAnsi="Arial" w:cs="Arial"/>
                <w:color w:val="010000"/>
                <w:sz w:val="20"/>
              </w:rPr>
              <w:t>On VAT 󠄇󠄇</w:t>
            </w:r>
          </w:p>
          <w:p w:rsidR="002340C2" w:rsidRPr="00DB7697" w:rsidRDefault="00DB7697" w:rsidP="005959C5">
            <w:pPr>
              <w:pBdr>
                <w:top w:val="nil"/>
                <w:left w:val="nil"/>
                <w:bottom w:val="nil"/>
                <w:right w:val="nil"/>
                <w:between w:val="nil"/>
              </w:pBdr>
              <w:tabs>
                <w:tab w:val="left" w:pos="3006"/>
              </w:tabs>
              <w:spacing w:after="120" w:line="360" w:lineRule="auto"/>
              <w:jc w:val="both"/>
              <w:rPr>
                <w:rFonts w:ascii="Arial" w:eastAsia="Arial" w:hAnsi="Arial" w:cs="Arial"/>
                <w:color w:val="010000"/>
                <w:sz w:val="20"/>
                <w:szCs w:val="20"/>
              </w:rPr>
            </w:pPr>
            <w:r w:rsidRPr="00DB7697">
              <w:rPr>
                <w:rFonts w:ascii="Arial" w:hAnsi="Arial" w:cs="Arial"/>
                <w:color w:val="010000"/>
                <w:sz w:val="20"/>
              </w:rPr>
              <w:t>On sales 󠄇󠄇</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Do not have to pay VAT 󠄇󠄇</w:t>
            </w:r>
          </w:p>
        </w:tc>
      </w:tr>
    </w:tbl>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Article 3: Assign and authorize Ms. Ngo Thi Thuy Linh - the Legal representative of the company to implement tasks related to changing the address of the Company’s Branch in Ho Chi Minh City.</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Mr. Ngo Thi Thuy Linh is allowed to authorize another individual to represent the Company in implementing the tasks mentioned above. This authorization is prepared in a separate document.</w:t>
      </w:r>
    </w:p>
    <w:p w:rsidR="002340C2" w:rsidRPr="00DB7697" w:rsidRDefault="00DB7697" w:rsidP="005959C5">
      <w:pPr>
        <w:pBdr>
          <w:top w:val="nil"/>
          <w:left w:val="nil"/>
          <w:bottom w:val="nil"/>
          <w:right w:val="nil"/>
          <w:between w:val="nil"/>
        </w:pBdr>
        <w:spacing w:after="120" w:line="360" w:lineRule="auto"/>
        <w:jc w:val="both"/>
        <w:rPr>
          <w:rFonts w:ascii="Arial" w:eastAsia="Arial" w:hAnsi="Arial" w:cs="Arial"/>
          <w:color w:val="010000"/>
          <w:sz w:val="20"/>
          <w:szCs w:val="20"/>
        </w:rPr>
      </w:pPr>
      <w:r w:rsidRPr="00DB7697">
        <w:rPr>
          <w:rFonts w:ascii="Arial" w:hAnsi="Arial" w:cs="Arial"/>
          <w:color w:val="010000"/>
          <w:sz w:val="20"/>
        </w:rPr>
        <w:t>Article 4: The Resolution takes effect from the date of its signing. the Board of Directors, the Board of Management, Ms. Ngo Thi Thuy Linh, departments, and employees of the company are responsible for implementing this Resolution.</w:t>
      </w:r>
      <w:bookmarkStart w:id="0" w:name="_GoBack"/>
      <w:bookmarkEnd w:id="0"/>
    </w:p>
    <w:sectPr w:rsidR="002340C2" w:rsidRPr="00DB7697" w:rsidSect="00DB769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2"/>
    <w:rsid w:val="002340C2"/>
    <w:rsid w:val="00323947"/>
    <w:rsid w:val="005959C5"/>
    <w:rsid w:val="009B4D21"/>
    <w:rsid w:val="00DB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E0FB5-1018-472C-A1AB-9662DF7C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AD"/>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E7D89"/>
      <w:sz w:val="28"/>
      <w:szCs w:val="28"/>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Other0">
    <w:name w:val="Other"/>
    <w:basedOn w:val="Normal"/>
    <w:link w:val="Other"/>
    <w:pPr>
      <w:spacing w:line="298"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Arial" w:eastAsia="Arial" w:hAnsi="Arial" w:cs="Arial"/>
      <w:color w:val="EE7D89"/>
      <w:sz w:val="28"/>
      <w:szCs w:val="28"/>
    </w:rPr>
  </w:style>
  <w:style w:type="paragraph" w:styleId="NormalWeb">
    <w:name w:val="Normal (Web)"/>
    <w:basedOn w:val="Normal"/>
    <w:uiPriority w:val="99"/>
    <w:unhideWhenUsed/>
    <w:rsid w:val="006D49A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jOqe+pfFZ6++gO49REuWCAMuw==">CgMxLjA4AHIhMXFOYTlpZ3pvYTlibTVYZ1pRbG9ySTVpUWptbFV2MVhx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441</Words>
  <Characters>2607</Characters>
  <Application>Microsoft Office Word</Application>
  <DocSecurity>0</DocSecurity>
  <Lines>66</Lines>
  <Paragraphs>59</Paragraphs>
  <ScaleCrop>false</ScaleCrop>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2024-07-17T03:19:00Z</dcterms:created>
  <dcterms:modified xsi:type="dcterms:W3CDTF">2024-07-18T04:04:00Z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5b3be4af801b87a6d5a61ad8976c56750540a2cc73a2ad12649e1962bce568e5</vt:lpwstr>
  </property>
</Properties>
</file>