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65" w:rsidRPr="003338ED" w:rsidRDefault="003338ED" w:rsidP="006C0172">
      <w:pPr>
        <w:pBdr>
          <w:top w:val="nil"/>
          <w:left w:val="nil"/>
          <w:bottom w:val="nil"/>
          <w:right w:val="nil"/>
          <w:between w:val="nil"/>
        </w:pBdr>
        <w:tabs>
          <w:tab w:val="left" w:pos="432"/>
          <w:tab w:val="left" w:pos="4511"/>
        </w:tabs>
        <w:spacing w:after="120" w:line="360" w:lineRule="auto"/>
        <w:jc w:val="both"/>
        <w:rPr>
          <w:rFonts w:ascii="Arial" w:eastAsia="Arial" w:hAnsi="Arial" w:cs="Arial"/>
          <w:b/>
          <w:color w:val="010000"/>
          <w:sz w:val="20"/>
          <w:szCs w:val="20"/>
        </w:rPr>
      </w:pPr>
      <w:bookmarkStart w:id="0" w:name="_GoBack"/>
      <w:r w:rsidRPr="003338ED">
        <w:rPr>
          <w:rFonts w:ascii="Arial" w:hAnsi="Arial" w:cs="Arial"/>
          <w:b/>
          <w:color w:val="010000"/>
          <w:sz w:val="20"/>
        </w:rPr>
        <w:t>DTD: Board Resolution</w:t>
      </w:r>
    </w:p>
    <w:p w:rsidR="003F7965" w:rsidRPr="003338ED" w:rsidRDefault="003338ED" w:rsidP="006C0172">
      <w:pPr>
        <w:pBdr>
          <w:top w:val="nil"/>
          <w:left w:val="nil"/>
          <w:bottom w:val="nil"/>
          <w:right w:val="nil"/>
          <w:between w:val="nil"/>
        </w:pBdr>
        <w:tabs>
          <w:tab w:val="left" w:pos="432"/>
          <w:tab w:val="left" w:pos="4511"/>
        </w:tabs>
        <w:spacing w:after="120" w:line="360" w:lineRule="auto"/>
        <w:jc w:val="both"/>
        <w:rPr>
          <w:rFonts w:ascii="Arial" w:eastAsia="Arial" w:hAnsi="Arial" w:cs="Arial"/>
          <w:color w:val="010000"/>
          <w:sz w:val="20"/>
          <w:szCs w:val="20"/>
        </w:rPr>
      </w:pPr>
      <w:r w:rsidRPr="003338ED">
        <w:rPr>
          <w:rFonts w:ascii="Arial" w:hAnsi="Arial" w:cs="Arial"/>
          <w:color w:val="010000"/>
          <w:sz w:val="20"/>
        </w:rPr>
        <w:t>On July 15, 2024, Thanh Dat Investment Development JSC announced Resolution No. 72/2024/NQ-HDQT on implementing the plan to issue bonus shares for employees according to the Employee Stock Ownership Plan as follows:</w:t>
      </w:r>
    </w:p>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Article 1: Approve the implementation of the plan to issue bonus shares for employees according to the Employee Stock Ownership Plan, specifically:</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3685"/>
        <w:gridCol w:w="5342"/>
      </w:tblGrid>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Share name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Shares of Thanh Dat Investment Development JSC</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Type of share: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Common shares</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Par value: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VND10,000</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Number of outstanding shares:</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56,745,285 shares</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Number of issued shares:</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744,000 shares</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Total issuance value: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VND7,440,000,000</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Issuance rate/ number of outstanding shares:</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 w:val="left" w:pos="572"/>
              </w:tabs>
              <w:spacing w:after="120" w:line="360" w:lineRule="auto"/>
              <w:jc w:val="both"/>
              <w:rPr>
                <w:rFonts w:ascii="Arial" w:eastAsia="Arial" w:hAnsi="Arial" w:cs="Arial"/>
                <w:color w:val="010000"/>
                <w:sz w:val="20"/>
                <w:szCs w:val="20"/>
              </w:rPr>
            </w:pPr>
            <w:r w:rsidRPr="003338ED">
              <w:rPr>
                <w:rFonts w:ascii="Arial" w:hAnsi="Arial" w:cs="Arial"/>
                <w:color w:val="010000"/>
                <w:sz w:val="20"/>
              </w:rPr>
              <w:t xml:space="preserve">1.31% </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Number of outstanding shares after the completion of the issuance: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57,489,285 shares</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Charter capital after the issuance: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VND574,892,850,000</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Form of the issuance: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Issue bonus shares for employees according to the Employee Stock Ownership Plan</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Purposes of the issuance:</w:t>
            </w:r>
          </w:p>
        </w:tc>
        <w:tc>
          <w:tcPr>
            <w:tcW w:w="2959"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144"/>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Attract highly qualified employees, create bonds and link employees’ interests with the Company’s interests;</w:t>
            </w:r>
          </w:p>
          <w:p w:rsidR="003F7965" w:rsidRPr="003338ED" w:rsidRDefault="003338ED" w:rsidP="006C0172">
            <w:pPr>
              <w:numPr>
                <w:ilvl w:val="0"/>
                <w:numId w:val="2"/>
              </w:numPr>
              <w:pBdr>
                <w:top w:val="nil"/>
                <w:left w:val="nil"/>
                <w:bottom w:val="nil"/>
                <w:right w:val="nil"/>
                <w:between w:val="nil"/>
              </w:pBdr>
              <w:tabs>
                <w:tab w:val="left" w:pos="144"/>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Motivate managers and employees to develop production for the Company.</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Subjects of the issuance: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Issue for employees working at the Company, according to the Employee Stock Ownership Plan promulgated by the Board of Directors.</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Capital source for the issuance: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Undistributed profit after tax in the Audited Financial Statements 2023 (the Audited Consolidated Financial Statements 2023).</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Transfer conditions:</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Transfer is restricted for 12 months from the date of completion of the issuance.</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t xml:space="preserve">The issuance plan ensures that the share issuance meets the maximum </w:t>
            </w:r>
            <w:r w:rsidRPr="003338ED">
              <w:rPr>
                <w:rFonts w:ascii="Arial" w:hAnsi="Arial" w:cs="Arial"/>
                <w:color w:val="010000"/>
                <w:sz w:val="20"/>
              </w:rPr>
              <w:lastRenderedPageBreak/>
              <w:t>foreign ownership rate:</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lastRenderedPageBreak/>
              <w:t xml:space="preserve">Employees in the Company are all Vietnamese, therefore the issuance of shares according to the Company's Employee Stock Ownership Plan ensures that it meets the </w:t>
            </w:r>
            <w:r w:rsidRPr="003338ED">
              <w:rPr>
                <w:rFonts w:ascii="Arial" w:hAnsi="Arial" w:cs="Arial"/>
                <w:color w:val="010000"/>
                <w:sz w:val="20"/>
              </w:rPr>
              <w:lastRenderedPageBreak/>
              <w:t>regulations on the maximum foreign ownership rate as prescribed.</w:t>
            </w:r>
          </w:p>
        </w:tc>
      </w:tr>
      <w:tr w:rsidR="003F7965" w:rsidRPr="003338ED" w:rsidTr="003338ED">
        <w:tc>
          <w:tcPr>
            <w:tcW w:w="2041" w:type="pct"/>
            <w:shd w:val="clear" w:color="auto" w:fill="auto"/>
            <w:vAlign w:val="center"/>
          </w:tcPr>
          <w:p w:rsidR="003F7965" w:rsidRPr="003338ED" w:rsidRDefault="003338ED" w:rsidP="006C017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38ED">
              <w:rPr>
                <w:rFonts w:ascii="Arial" w:hAnsi="Arial" w:cs="Arial"/>
                <w:color w:val="010000"/>
                <w:sz w:val="20"/>
              </w:rPr>
              <w:lastRenderedPageBreak/>
              <w:t>Time of implementation:</w:t>
            </w:r>
          </w:p>
        </w:tc>
        <w:tc>
          <w:tcPr>
            <w:tcW w:w="2959" w:type="pct"/>
            <w:shd w:val="clear" w:color="auto" w:fill="auto"/>
            <w:vAlign w:val="center"/>
          </w:tcPr>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In Q3/2024, after receiving the documents on receiving the dossier reporting the share issuance from the State Securities Commission.</w:t>
            </w:r>
          </w:p>
        </w:tc>
      </w:tr>
    </w:tbl>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Article 2: Approve the Dossier on reporting the issuance of bonus shares for employees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55"/>
        </w:tabs>
        <w:spacing w:after="120" w:line="360" w:lineRule="auto"/>
        <w:jc w:val="both"/>
        <w:rPr>
          <w:rFonts w:ascii="Arial" w:eastAsia="Arial" w:hAnsi="Arial" w:cs="Arial"/>
          <w:color w:val="010000"/>
          <w:sz w:val="20"/>
          <w:szCs w:val="20"/>
        </w:rPr>
      </w:pPr>
      <w:r w:rsidRPr="003338ED">
        <w:rPr>
          <w:rFonts w:ascii="Arial" w:hAnsi="Arial" w:cs="Arial"/>
          <w:color w:val="010000"/>
          <w:sz w:val="20"/>
        </w:rPr>
        <w:t>Report on the share issuance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55"/>
        </w:tabs>
        <w:spacing w:after="120" w:line="360" w:lineRule="auto"/>
        <w:jc w:val="both"/>
        <w:rPr>
          <w:rFonts w:ascii="Arial" w:eastAsia="Arial" w:hAnsi="Arial" w:cs="Arial"/>
          <w:color w:val="010000"/>
          <w:sz w:val="20"/>
          <w:szCs w:val="20"/>
        </w:rPr>
      </w:pPr>
      <w:r w:rsidRPr="003338ED">
        <w:rPr>
          <w:rFonts w:ascii="Arial" w:hAnsi="Arial" w:cs="Arial"/>
          <w:color w:val="010000"/>
          <w:sz w:val="20"/>
        </w:rPr>
        <w:t>Minutes of the Board of Directors meeting No. 71/2024/BB-HDQT dated July 15, 2024, on implementing the plan to issue bonus shares for employees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55"/>
        </w:tabs>
        <w:spacing w:after="120" w:line="360" w:lineRule="auto"/>
        <w:jc w:val="both"/>
        <w:rPr>
          <w:rFonts w:ascii="Arial" w:eastAsia="Arial" w:hAnsi="Arial" w:cs="Arial"/>
          <w:color w:val="010000"/>
          <w:sz w:val="20"/>
          <w:szCs w:val="20"/>
        </w:rPr>
      </w:pPr>
      <w:r w:rsidRPr="003338ED">
        <w:rPr>
          <w:rFonts w:ascii="Arial" w:hAnsi="Arial" w:cs="Arial"/>
          <w:color w:val="010000"/>
          <w:sz w:val="20"/>
        </w:rPr>
        <w:t>Resolution No. 72/2024/NQ-HDQT dated July 15, 2024, on implementing the plan to issue bonus shares for employees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55"/>
        </w:tabs>
        <w:spacing w:after="120" w:line="360" w:lineRule="auto"/>
        <w:jc w:val="both"/>
        <w:rPr>
          <w:rFonts w:ascii="Arial" w:eastAsia="Arial" w:hAnsi="Arial" w:cs="Arial"/>
          <w:color w:val="010000"/>
          <w:sz w:val="20"/>
          <w:szCs w:val="20"/>
        </w:rPr>
      </w:pPr>
      <w:r w:rsidRPr="003338ED">
        <w:rPr>
          <w:rFonts w:ascii="Arial" w:hAnsi="Arial" w:cs="Arial"/>
          <w:color w:val="010000"/>
          <w:sz w:val="20"/>
        </w:rPr>
        <w:t>Minutes of the Board of Directors Meeting No. 73/2024/BB-HDQT dated July 15, 2024, on approving the Regulations on issuing bonus shares for employees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Resolution No. 74/2024/NQ-HDQT dated July 15, 2024, on approving the Regulations on issuing bonus shares for employees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Regulations on issuing bonus shares for employees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List of employees receiving bonus shares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General Mandate No. 01/2024/NQ-DHDCD dated April 16, 2024 on approving the plan to issue bonus shares for employees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Minutes of the General Meeting of Shareholders No. 01/2024/BB-DHDCD dated April 16, 2024, on approving the plan to issue bonus shares for employees according to the Employee Stock Ownership Plan;</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Proposal No. 04/2024/TTr-HDQT on the plan on using profits and appropriation for funds in the fiscal year 2023;</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Proposal No. 08/2024/TTr-HDQT on issuing bonus shares according to the Employee Stock Ownership Plan at the Annual General Meeting of Shareholders 2024 on April 16, 2024;</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Audited Separate and Consolidated Financial Statements 2023;</w:t>
      </w:r>
    </w:p>
    <w:p w:rsidR="003F7965" w:rsidRPr="003338ED" w:rsidRDefault="003338ED" w:rsidP="006C0172">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3338ED">
        <w:rPr>
          <w:rFonts w:ascii="Arial" w:hAnsi="Arial" w:cs="Arial"/>
          <w:color w:val="010000"/>
          <w:sz w:val="20"/>
        </w:rPr>
        <w:t>Official Dispatch No. 77/2024/CV dated July 15, 2024, on separating votes in the Annual General Meeting of Shareholders 2024 for individuals with interests related to the issuance.</w:t>
      </w:r>
    </w:p>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Article 3: Authorization</w:t>
      </w:r>
    </w:p>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lastRenderedPageBreak/>
        <w:t>The Board of Directors assigned Mr. Nguyen Huy Cuong – the Chair of the Board of Directors – the Legal Representative - Thanh Dat Investment Development JSC to carry out the necessary work to supplement documents to complete the dossiers and other relevant documents as required by the State Securities Commission (if any) during the application appraisal process and report the results to the Board of Directors of the Company after the end of the issuance.</w:t>
      </w:r>
    </w:p>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Article 4: Terms of enforcement</w:t>
      </w:r>
    </w:p>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Members of the Board of Directors, the Board of Management, the Chief Accountant and affiliated functional departments are responsible for the implementation of this Resolution.</w:t>
      </w:r>
    </w:p>
    <w:p w:rsidR="003F7965" w:rsidRPr="003338ED" w:rsidRDefault="003338ED" w:rsidP="006C01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38ED">
        <w:rPr>
          <w:rFonts w:ascii="Arial" w:hAnsi="Arial" w:cs="Arial"/>
          <w:color w:val="010000"/>
          <w:sz w:val="20"/>
        </w:rPr>
        <w:t>This Resolution takes effect from the date of its signing.</w:t>
      </w:r>
      <w:bookmarkEnd w:id="0"/>
    </w:p>
    <w:sectPr w:rsidR="003F7965" w:rsidRPr="003338ED" w:rsidSect="003338E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8DF"/>
    <w:multiLevelType w:val="multilevel"/>
    <w:tmpl w:val="B90C78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9670769"/>
    <w:multiLevelType w:val="multilevel"/>
    <w:tmpl w:val="D77C3B96"/>
    <w:lvl w:ilvl="0">
      <w:start w:val="744"/>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65"/>
    <w:rsid w:val="003338ED"/>
    <w:rsid w:val="003F7965"/>
    <w:rsid w:val="006C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C6FA6-72F4-4B92-9B1A-63B53636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EB4755"/>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B4755"/>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EB4755"/>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43"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180" w:lineRule="auto"/>
      <w:outlineLvl w:val="0"/>
    </w:pPr>
    <w:rPr>
      <w:rFonts w:ascii="Arial" w:eastAsia="Arial" w:hAnsi="Arial" w:cs="Arial"/>
      <w:color w:val="EB4755"/>
      <w:sz w:val="22"/>
      <w:szCs w:val="22"/>
    </w:rPr>
  </w:style>
  <w:style w:type="paragraph" w:customStyle="1" w:styleId="Vnbnnidung30">
    <w:name w:val="Văn bản nội dung (3)"/>
    <w:basedOn w:val="Normal"/>
    <w:link w:val="Vnbnnidung3"/>
    <w:pPr>
      <w:jc w:val="right"/>
    </w:pPr>
    <w:rPr>
      <w:rFonts w:ascii="Arial" w:eastAsia="Arial" w:hAnsi="Arial" w:cs="Arial"/>
      <w:b/>
      <w:bCs/>
      <w:color w:val="EB4755"/>
      <w:sz w:val="17"/>
      <w:szCs w:val="17"/>
    </w:rPr>
  </w:style>
  <w:style w:type="paragraph" w:customStyle="1" w:styleId="Vnbnnidung20">
    <w:name w:val="Văn bản nội dung (2)"/>
    <w:basedOn w:val="Normal"/>
    <w:link w:val="Vnbnnidung2"/>
    <w:pPr>
      <w:spacing w:line="252" w:lineRule="auto"/>
    </w:pPr>
    <w:rPr>
      <w:rFonts w:ascii="Arial" w:eastAsia="Arial" w:hAnsi="Arial" w:cs="Arial"/>
      <w:color w:val="EB4755"/>
      <w:sz w:val="20"/>
      <w:szCs w:val="20"/>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pPr>
      <w:spacing w:line="343" w:lineRule="auto"/>
    </w:pPr>
    <w:rPr>
      <w:rFonts w:ascii="Times New Roman" w:eastAsia="Times New Roman" w:hAnsi="Times New Roman" w:cs="Times New Roman"/>
      <w:sz w:val="22"/>
      <w:szCs w:val="22"/>
    </w:rPr>
  </w:style>
  <w:style w:type="table" w:styleId="TableGrid">
    <w:name w:val="Table Grid"/>
    <w:basedOn w:val="TableNormal"/>
    <w:uiPriority w:val="39"/>
    <w:rsid w:val="004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Nf5ZDoghFvYdqPz15gyA4/jbdw==">CgMxLjA4AHIhMVdIZV85ZXRJVlV3aGpwdExjalNGSTlOejhwSnljWFU2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714</Words>
  <Characters>4072</Characters>
  <Application>Microsoft Office Word</Application>
  <DocSecurity>0</DocSecurity>
  <Lines>33</Lines>
  <Paragraphs>9</Paragraphs>
  <ScaleCrop>false</ScaleCrop>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2024-07-17T03:20:00Z</dcterms:created>
  <dcterms:modified xsi:type="dcterms:W3CDTF">2024-07-18T02:57:00Z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985f64a149ed6a0714b92b91ff446fcc7b52220b0f3a66706258e25942318ab6</vt:lpwstr>
  </property>
</Properties>
</file>