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53F73" w:rsidRPr="002250BE" w:rsidRDefault="002250BE" w:rsidP="002250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250BE">
        <w:rPr>
          <w:rFonts w:ascii="Arial" w:hAnsi="Arial" w:cs="Arial"/>
          <w:b/>
          <w:bCs/>
          <w:color w:val="010000"/>
          <w:sz w:val="20"/>
        </w:rPr>
        <w:t>MH3:</w:t>
      </w:r>
      <w:r w:rsidRPr="002250B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0CFE8E1" w:rsidR="00253F73" w:rsidRPr="002250BE" w:rsidRDefault="002250BE" w:rsidP="002250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50BE">
        <w:rPr>
          <w:rFonts w:ascii="Arial" w:hAnsi="Arial" w:cs="Arial"/>
          <w:color w:val="010000"/>
          <w:sz w:val="20"/>
        </w:rPr>
        <w:t>On July 15, 2024, Binh Long Rubber Industrial Park Corporation announced Resolution No. 16/NQ-HDQT as follows:</w:t>
      </w:r>
    </w:p>
    <w:p w14:paraId="00000003" w14:textId="3325D2FC" w:rsidR="00253F73" w:rsidRPr="002250BE" w:rsidRDefault="002250BE" w:rsidP="002250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50BE">
        <w:rPr>
          <w:rFonts w:ascii="Arial" w:hAnsi="Arial" w:cs="Arial"/>
          <w:color w:val="010000"/>
          <w:sz w:val="20"/>
        </w:rPr>
        <w:t>‎‎Article 1. The Board of Directors approved the dividend payment for round 2 in 2023 as follows:</w:t>
      </w:r>
    </w:p>
    <w:p w14:paraId="00000004" w14:textId="77777777" w:rsidR="00253F73" w:rsidRPr="002250BE" w:rsidRDefault="002250BE" w:rsidP="00225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50BE">
        <w:rPr>
          <w:rFonts w:ascii="Arial" w:hAnsi="Arial" w:cs="Arial"/>
          <w:color w:val="010000"/>
          <w:sz w:val="20"/>
        </w:rPr>
        <w:t>Dividend payment rate Round 2: 9%/share (Shareholders receive VND900 for every share they own)</w:t>
      </w:r>
    </w:p>
    <w:p w14:paraId="00000005" w14:textId="77777777" w:rsidR="00253F73" w:rsidRPr="002250BE" w:rsidRDefault="002250BE" w:rsidP="00225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50BE">
        <w:rPr>
          <w:rFonts w:ascii="Arial" w:hAnsi="Arial" w:cs="Arial"/>
          <w:color w:val="010000"/>
          <w:sz w:val="20"/>
        </w:rPr>
        <w:t>The record date for the list of shareholders: August 14, 2024.</w:t>
      </w:r>
    </w:p>
    <w:p w14:paraId="00000006" w14:textId="444F02C0" w:rsidR="00253F73" w:rsidRPr="002250BE" w:rsidRDefault="002250BE" w:rsidP="00225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50BE">
        <w:rPr>
          <w:rFonts w:ascii="Arial" w:hAnsi="Arial" w:cs="Arial"/>
          <w:color w:val="010000"/>
          <w:sz w:val="20"/>
        </w:rPr>
        <w:t>Payment date: August 30, 2024.</w:t>
      </w:r>
    </w:p>
    <w:p w14:paraId="00000007" w14:textId="77777777" w:rsidR="00253F73" w:rsidRPr="002250BE" w:rsidRDefault="002250BE" w:rsidP="002250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50BE">
        <w:rPr>
          <w:rFonts w:ascii="Arial" w:hAnsi="Arial" w:cs="Arial"/>
          <w:color w:val="010000"/>
          <w:sz w:val="20"/>
        </w:rPr>
        <w:t>‎‎Article 2. Assign the Executive Board to implement procedures for dividend payment round 2 in 2023 in accordance with the current provisions of law.</w:t>
      </w:r>
    </w:p>
    <w:p w14:paraId="00000008" w14:textId="1C085FE6" w:rsidR="00253F73" w:rsidRPr="002250BE" w:rsidRDefault="002250BE" w:rsidP="002250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50BE">
        <w:rPr>
          <w:rFonts w:ascii="Arial" w:hAnsi="Arial" w:cs="Arial"/>
          <w:color w:val="010000"/>
          <w:sz w:val="20"/>
        </w:rPr>
        <w:t>‎‎Article 3. Members of the Board of Directors, the General Manager, the Deputy General Manager, and relevant departments are responsible for implementing this Resolution.</w:t>
      </w:r>
    </w:p>
    <w:sectPr w:rsidR="00253F73" w:rsidRPr="002250BE" w:rsidSect="002250B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0687F"/>
    <w:multiLevelType w:val="multilevel"/>
    <w:tmpl w:val="60AE807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73"/>
    <w:rsid w:val="002250BE"/>
    <w:rsid w:val="00253F73"/>
    <w:rsid w:val="00A9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9D93D"/>
  <w15:docId w15:val="{701D8B99-F660-4F9F-8E62-3B095EF3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icrosoft Sans Serif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4" w:lineRule="auto"/>
      <w:ind w:left="220" w:hanging="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w w:val="8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wDwAasasZMX2BDoFI2sXvBNXoQ==">CgMxLjA4AHIhMWlHQ1VNaUpZb2Y2WTBOMFF1c0RhYWxlRFdtc2t3WnFp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2024-07-18T04:15:00Z</dcterms:created>
  <dcterms:modified xsi:type="dcterms:W3CDTF">2024-07-18T04:15:00Z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6119a7149f3e09547cbf8d645e66dc746ca6b1f396cb4d12b7cdd6d6fbb48c0a</vt:lpwstr>
  </property>
</Properties>
</file>