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0371" w:rsidRPr="004C643D" w:rsidRDefault="00E352FB" w:rsidP="004C643D">
      <w:pPr>
        <w:pBdr>
          <w:top w:val="nil"/>
          <w:left w:val="nil"/>
          <w:bottom w:val="nil"/>
          <w:right w:val="nil"/>
          <w:between w:val="nil"/>
        </w:pBdr>
        <w:tabs>
          <w:tab w:val="left" w:pos="432"/>
        </w:tabs>
        <w:spacing w:after="120" w:line="360" w:lineRule="auto"/>
        <w:jc w:val="both"/>
        <w:rPr>
          <w:rFonts w:ascii="Arial" w:eastAsia="Arial" w:hAnsi="Arial" w:cs="Arial"/>
          <w:b/>
          <w:color w:val="auto"/>
          <w:sz w:val="20"/>
          <w:szCs w:val="20"/>
        </w:rPr>
      </w:pPr>
      <w:r w:rsidRPr="004C643D">
        <w:rPr>
          <w:rFonts w:ascii="Arial" w:hAnsi="Arial"/>
          <w:b/>
          <w:color w:val="auto"/>
          <w:sz w:val="20"/>
        </w:rPr>
        <w:t>CSC: Board Resolution</w:t>
      </w:r>
    </w:p>
    <w:p w14:paraId="00000002" w14:textId="77777777" w:rsidR="00B90371" w:rsidRPr="004C643D" w:rsidRDefault="00E352FB" w:rsidP="004C643D">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4C643D">
        <w:rPr>
          <w:rFonts w:ascii="Arial" w:hAnsi="Arial"/>
          <w:color w:val="auto"/>
          <w:sz w:val="20"/>
        </w:rPr>
        <w:t>On July 16, 2024, COTANA GROUP Joint Stock Company announced Resolution No. 07/2024-NQ/HDQT-CNG as follows:</w:t>
      </w:r>
    </w:p>
    <w:p w14:paraId="00000003" w14:textId="63F3BF9C" w:rsidR="00B90371" w:rsidRPr="004C643D" w:rsidRDefault="00E352FB" w:rsidP="004C643D">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4C643D">
        <w:rPr>
          <w:rFonts w:ascii="Arial" w:hAnsi="Arial"/>
          <w:color w:val="auto"/>
          <w:sz w:val="20"/>
        </w:rPr>
        <w:t xml:space="preserve">Article 1: Approve on the plan to transfer 60,000 shares of </w:t>
      </w:r>
      <w:proofErr w:type="spellStart"/>
      <w:r w:rsidRPr="004C643D">
        <w:rPr>
          <w:rFonts w:ascii="Arial" w:hAnsi="Arial"/>
          <w:color w:val="auto"/>
          <w:sz w:val="20"/>
        </w:rPr>
        <w:t>Cotana</w:t>
      </w:r>
      <w:proofErr w:type="spellEnd"/>
      <w:r w:rsidRPr="004C643D">
        <w:rPr>
          <w:rFonts w:ascii="Arial" w:hAnsi="Arial"/>
          <w:color w:val="auto"/>
          <w:sz w:val="20"/>
        </w:rPr>
        <w:t xml:space="preserve"> Construction Joint Stock Company owned by COTANA GROUP Joint Stock Company with the tr</w:t>
      </w:r>
      <w:bookmarkStart w:id="0" w:name="_GoBack"/>
      <w:bookmarkEnd w:id="0"/>
      <w:r w:rsidRPr="004C643D">
        <w:rPr>
          <w:rFonts w:ascii="Arial" w:hAnsi="Arial"/>
          <w:color w:val="auto"/>
          <w:sz w:val="20"/>
        </w:rPr>
        <w:t>ansfer information as follows:</w:t>
      </w:r>
    </w:p>
    <w:p w14:paraId="00000004" w14:textId="77777777" w:rsidR="00B90371" w:rsidRPr="004C643D" w:rsidRDefault="00E352FB" w:rsidP="004C643D">
      <w:pPr>
        <w:numPr>
          <w:ilvl w:val="0"/>
          <w:numId w:val="1"/>
        </w:numPr>
        <w:pBdr>
          <w:top w:val="nil"/>
          <w:left w:val="nil"/>
          <w:bottom w:val="nil"/>
          <w:right w:val="nil"/>
          <w:between w:val="nil"/>
        </w:pBdr>
        <w:tabs>
          <w:tab w:val="left" w:pos="432"/>
          <w:tab w:val="left" w:pos="924"/>
        </w:tabs>
        <w:spacing w:after="120" w:line="360" w:lineRule="auto"/>
        <w:jc w:val="both"/>
        <w:rPr>
          <w:rFonts w:ascii="Arial" w:eastAsia="Arial" w:hAnsi="Arial" w:cs="Arial"/>
          <w:color w:val="auto"/>
          <w:sz w:val="20"/>
          <w:szCs w:val="20"/>
        </w:rPr>
      </w:pPr>
      <w:r w:rsidRPr="004C643D">
        <w:rPr>
          <w:rFonts w:ascii="Arial" w:hAnsi="Arial"/>
          <w:color w:val="auto"/>
          <w:sz w:val="20"/>
        </w:rPr>
        <w:t xml:space="preserve">Issuer: </w:t>
      </w:r>
      <w:proofErr w:type="spellStart"/>
      <w:r w:rsidRPr="004C643D">
        <w:rPr>
          <w:rFonts w:ascii="Arial" w:hAnsi="Arial"/>
          <w:color w:val="auto"/>
          <w:sz w:val="20"/>
        </w:rPr>
        <w:t>Cotana</w:t>
      </w:r>
      <w:proofErr w:type="spellEnd"/>
      <w:r w:rsidRPr="004C643D">
        <w:rPr>
          <w:rFonts w:ascii="Arial" w:hAnsi="Arial"/>
          <w:color w:val="auto"/>
          <w:sz w:val="20"/>
        </w:rPr>
        <w:t xml:space="preserve"> Construction Joint Stock Company</w:t>
      </w:r>
    </w:p>
    <w:p w14:paraId="00000005" w14:textId="77777777" w:rsidR="00B90371" w:rsidRPr="004C643D" w:rsidRDefault="00E352FB" w:rsidP="004C643D">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4C643D">
        <w:rPr>
          <w:rFonts w:ascii="Arial" w:hAnsi="Arial"/>
          <w:color w:val="auto"/>
          <w:sz w:val="20"/>
        </w:rPr>
        <w:t xml:space="preserve">Head office address: Lot CC5A </w:t>
      </w:r>
      <w:proofErr w:type="spellStart"/>
      <w:r w:rsidRPr="004C643D">
        <w:rPr>
          <w:rFonts w:ascii="Arial" w:hAnsi="Arial"/>
          <w:color w:val="auto"/>
          <w:sz w:val="20"/>
        </w:rPr>
        <w:t>Linh</w:t>
      </w:r>
      <w:proofErr w:type="spellEnd"/>
      <w:r w:rsidRPr="004C643D">
        <w:rPr>
          <w:rFonts w:ascii="Arial" w:hAnsi="Arial"/>
          <w:color w:val="auto"/>
          <w:sz w:val="20"/>
        </w:rPr>
        <w:t xml:space="preserve"> Dam Peninsula, Hoang </w:t>
      </w:r>
      <w:proofErr w:type="spellStart"/>
      <w:r w:rsidRPr="004C643D">
        <w:rPr>
          <w:rFonts w:ascii="Arial" w:hAnsi="Arial"/>
          <w:color w:val="auto"/>
          <w:sz w:val="20"/>
        </w:rPr>
        <w:t>Liet</w:t>
      </w:r>
      <w:proofErr w:type="spellEnd"/>
      <w:r w:rsidRPr="004C643D">
        <w:rPr>
          <w:rFonts w:ascii="Arial" w:hAnsi="Arial"/>
          <w:color w:val="auto"/>
          <w:sz w:val="20"/>
        </w:rPr>
        <w:t xml:space="preserve"> Ward, Hoang Mai District, Hanoi City, Vietnam</w:t>
      </w:r>
    </w:p>
    <w:p w14:paraId="00000006" w14:textId="190AC2C1" w:rsidR="00B90371" w:rsidRPr="004C643D" w:rsidRDefault="00E352FB" w:rsidP="004C643D">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4C643D">
        <w:rPr>
          <w:rFonts w:ascii="Arial" w:hAnsi="Arial"/>
          <w:color w:val="auto"/>
          <w:sz w:val="20"/>
        </w:rPr>
        <w:t>Business Registration Certificate No. 0102631540 granted by the Hanoi Authority for Planning and Investment for the first time on January 24, 2008, and amended for the eighth time on March 01, 2024.</w:t>
      </w:r>
    </w:p>
    <w:p w14:paraId="00000007" w14:textId="77777777" w:rsidR="00B90371" w:rsidRPr="004C643D" w:rsidRDefault="00E352FB" w:rsidP="004C643D">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4C643D">
        <w:rPr>
          <w:rFonts w:ascii="Arial" w:hAnsi="Arial"/>
          <w:color w:val="auto"/>
          <w:sz w:val="20"/>
        </w:rPr>
        <w:t>Charter capital: VND10,000,000,000</w:t>
      </w:r>
    </w:p>
    <w:p w14:paraId="00000008" w14:textId="77777777" w:rsidR="00B90371" w:rsidRPr="004C643D" w:rsidRDefault="00E352FB" w:rsidP="004C643D">
      <w:pPr>
        <w:numPr>
          <w:ilvl w:val="0"/>
          <w:numId w:val="1"/>
        </w:numPr>
        <w:pBdr>
          <w:top w:val="nil"/>
          <w:left w:val="nil"/>
          <w:bottom w:val="nil"/>
          <w:right w:val="nil"/>
          <w:between w:val="nil"/>
        </w:pBdr>
        <w:tabs>
          <w:tab w:val="left" w:pos="432"/>
          <w:tab w:val="left" w:pos="946"/>
        </w:tabs>
        <w:spacing w:after="120" w:line="360" w:lineRule="auto"/>
        <w:jc w:val="both"/>
        <w:rPr>
          <w:rFonts w:ascii="Arial" w:eastAsia="Arial" w:hAnsi="Arial" w:cs="Arial"/>
          <w:color w:val="auto"/>
          <w:sz w:val="20"/>
          <w:szCs w:val="20"/>
        </w:rPr>
      </w:pPr>
      <w:r w:rsidRPr="004C643D">
        <w:rPr>
          <w:rFonts w:ascii="Arial" w:hAnsi="Arial"/>
          <w:color w:val="auto"/>
          <w:sz w:val="20"/>
        </w:rPr>
        <w:t>Owner: COTANA GROUP Joint Stock Company.</w:t>
      </w:r>
    </w:p>
    <w:p w14:paraId="00000009" w14:textId="77777777" w:rsidR="00B90371" w:rsidRPr="004C643D" w:rsidRDefault="00E352FB" w:rsidP="004C643D">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4C643D">
        <w:rPr>
          <w:rFonts w:ascii="Arial" w:hAnsi="Arial"/>
          <w:color w:val="auto"/>
          <w:sz w:val="20"/>
        </w:rPr>
        <w:t>The total number of shares owned by COTANA GROUP Joint Stock Company is: 510,000 shares</w:t>
      </w:r>
    </w:p>
    <w:p w14:paraId="0000000A" w14:textId="77777777" w:rsidR="00B90371" w:rsidRPr="004C643D" w:rsidRDefault="00E352FB" w:rsidP="004C643D">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4C643D">
        <w:rPr>
          <w:rFonts w:ascii="Arial" w:hAnsi="Arial"/>
          <w:color w:val="auto"/>
          <w:sz w:val="20"/>
        </w:rPr>
        <w:t>Par value: VND10,000/share</w:t>
      </w:r>
    </w:p>
    <w:p w14:paraId="0000000B" w14:textId="77777777" w:rsidR="00B90371" w:rsidRPr="004C643D" w:rsidRDefault="00E352FB" w:rsidP="004C643D">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4C643D">
        <w:rPr>
          <w:rFonts w:ascii="Arial" w:hAnsi="Arial"/>
          <w:color w:val="auto"/>
          <w:sz w:val="20"/>
        </w:rPr>
        <w:t>Type of share: Common shares.</w:t>
      </w:r>
    </w:p>
    <w:p w14:paraId="0000000C" w14:textId="77777777" w:rsidR="00B90371" w:rsidRPr="004C643D" w:rsidRDefault="00E352FB" w:rsidP="004C643D">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4C643D">
        <w:rPr>
          <w:rFonts w:ascii="Arial" w:hAnsi="Arial"/>
          <w:color w:val="auto"/>
          <w:sz w:val="20"/>
        </w:rPr>
        <w:t>Total value of shares: VND5,100,000,000.</w:t>
      </w:r>
    </w:p>
    <w:p w14:paraId="0000000D" w14:textId="77777777" w:rsidR="00B90371" w:rsidRPr="004C643D" w:rsidRDefault="00E352FB" w:rsidP="004C643D">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4C643D">
        <w:rPr>
          <w:rFonts w:ascii="Arial" w:hAnsi="Arial"/>
          <w:color w:val="auto"/>
          <w:sz w:val="20"/>
        </w:rPr>
        <w:t>Ownership rate accounts for: 51% of charter capital.</w:t>
      </w:r>
    </w:p>
    <w:p w14:paraId="0000000E" w14:textId="77777777" w:rsidR="00B90371" w:rsidRPr="004C643D" w:rsidRDefault="00E352FB" w:rsidP="004C643D">
      <w:pPr>
        <w:numPr>
          <w:ilvl w:val="0"/>
          <w:numId w:val="1"/>
        </w:numPr>
        <w:pBdr>
          <w:top w:val="nil"/>
          <w:left w:val="nil"/>
          <w:bottom w:val="nil"/>
          <w:right w:val="nil"/>
          <w:between w:val="nil"/>
        </w:pBdr>
        <w:tabs>
          <w:tab w:val="left" w:pos="432"/>
          <w:tab w:val="left" w:pos="942"/>
        </w:tabs>
        <w:spacing w:after="120" w:line="360" w:lineRule="auto"/>
        <w:jc w:val="both"/>
        <w:rPr>
          <w:rFonts w:ascii="Arial" w:eastAsia="Arial" w:hAnsi="Arial" w:cs="Arial"/>
          <w:color w:val="auto"/>
          <w:sz w:val="20"/>
          <w:szCs w:val="20"/>
        </w:rPr>
      </w:pPr>
      <w:r w:rsidRPr="004C643D">
        <w:rPr>
          <w:rFonts w:ascii="Arial" w:hAnsi="Arial"/>
          <w:color w:val="auto"/>
          <w:sz w:val="20"/>
        </w:rPr>
        <w:t>Information of the transfer</w:t>
      </w:r>
    </w:p>
    <w:p w14:paraId="0000000F" w14:textId="77777777" w:rsidR="00B90371" w:rsidRPr="004C643D" w:rsidRDefault="00E352FB" w:rsidP="004C643D">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4C643D">
        <w:rPr>
          <w:rFonts w:ascii="Arial" w:hAnsi="Arial"/>
          <w:color w:val="auto"/>
          <w:sz w:val="20"/>
        </w:rPr>
        <w:t xml:space="preserve">Name of transferred shares: </w:t>
      </w:r>
      <w:proofErr w:type="spellStart"/>
      <w:r w:rsidRPr="004C643D">
        <w:rPr>
          <w:rFonts w:ascii="Arial" w:hAnsi="Arial"/>
          <w:color w:val="auto"/>
          <w:sz w:val="20"/>
        </w:rPr>
        <w:t>Cotana</w:t>
      </w:r>
      <w:proofErr w:type="spellEnd"/>
      <w:r w:rsidRPr="004C643D">
        <w:rPr>
          <w:rFonts w:ascii="Arial" w:hAnsi="Arial"/>
          <w:color w:val="auto"/>
          <w:sz w:val="20"/>
        </w:rPr>
        <w:t xml:space="preserve"> Construction Joint Stock Company.</w:t>
      </w:r>
    </w:p>
    <w:p w14:paraId="00000010" w14:textId="77777777" w:rsidR="00B90371" w:rsidRPr="004C643D" w:rsidRDefault="00E352FB" w:rsidP="004C643D">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4C643D">
        <w:rPr>
          <w:rFonts w:ascii="Arial" w:hAnsi="Arial"/>
          <w:color w:val="auto"/>
          <w:sz w:val="20"/>
        </w:rPr>
        <w:t>Number of transferred shares: 60,000 shares</w:t>
      </w:r>
    </w:p>
    <w:p w14:paraId="00000011" w14:textId="77777777" w:rsidR="00B90371" w:rsidRPr="004C643D" w:rsidRDefault="00E352FB" w:rsidP="004C643D">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4C643D">
        <w:rPr>
          <w:rFonts w:ascii="Arial" w:hAnsi="Arial"/>
          <w:color w:val="auto"/>
          <w:sz w:val="20"/>
        </w:rPr>
        <w:t>Par value: VND10,000/share.</w:t>
      </w:r>
    </w:p>
    <w:p w14:paraId="00000012" w14:textId="77777777" w:rsidR="00B90371" w:rsidRPr="004C643D" w:rsidRDefault="00E352FB" w:rsidP="004C643D">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4C643D">
        <w:rPr>
          <w:rFonts w:ascii="Arial" w:hAnsi="Arial"/>
          <w:color w:val="auto"/>
          <w:sz w:val="20"/>
        </w:rPr>
        <w:t>Type of share: Common shares.</w:t>
      </w:r>
    </w:p>
    <w:p w14:paraId="00000013" w14:textId="77777777" w:rsidR="00B90371" w:rsidRPr="004C643D" w:rsidRDefault="00E352FB" w:rsidP="004C643D">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4C643D">
        <w:rPr>
          <w:rFonts w:ascii="Arial" w:hAnsi="Arial"/>
          <w:color w:val="auto"/>
          <w:sz w:val="20"/>
        </w:rPr>
        <w:t>Minimum transfer price: VND10,000/share.</w:t>
      </w:r>
    </w:p>
    <w:p w14:paraId="00000014" w14:textId="7FE48363" w:rsidR="00B90371" w:rsidRPr="004C643D" w:rsidRDefault="00E352FB" w:rsidP="004C643D">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4C643D">
        <w:rPr>
          <w:rFonts w:ascii="Arial" w:hAnsi="Arial"/>
          <w:color w:val="auto"/>
          <w:sz w:val="20"/>
        </w:rPr>
        <w:t>Implementation method: Semi-agreement.</w:t>
      </w:r>
    </w:p>
    <w:p w14:paraId="00000015" w14:textId="15EED6E7" w:rsidR="00B90371" w:rsidRPr="004C643D" w:rsidRDefault="00E352FB" w:rsidP="004C643D">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4C643D">
        <w:rPr>
          <w:rFonts w:ascii="Arial" w:hAnsi="Arial"/>
          <w:color w:val="auto"/>
          <w:sz w:val="20"/>
        </w:rPr>
        <w:t xml:space="preserve">Article 2: Assign Mr. Doan Van Tuan - the General Manager to direct the implementation of the capital transfer plan of COTANA GROUP Joint Stock Company at </w:t>
      </w:r>
      <w:proofErr w:type="spellStart"/>
      <w:r w:rsidRPr="004C643D">
        <w:rPr>
          <w:rFonts w:ascii="Arial" w:hAnsi="Arial"/>
          <w:color w:val="auto"/>
          <w:sz w:val="20"/>
        </w:rPr>
        <w:t>Cotana</w:t>
      </w:r>
      <w:proofErr w:type="spellEnd"/>
      <w:r w:rsidRPr="004C643D">
        <w:rPr>
          <w:rFonts w:ascii="Arial" w:hAnsi="Arial"/>
          <w:color w:val="auto"/>
          <w:sz w:val="20"/>
        </w:rPr>
        <w:t xml:space="preserve"> Construction Joint Stock Company in accordance with the provisions of law.</w:t>
      </w:r>
    </w:p>
    <w:p w14:paraId="00000016" w14:textId="06B70ECC" w:rsidR="00B90371" w:rsidRPr="004C643D" w:rsidRDefault="00E352FB" w:rsidP="004C643D">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4C643D">
        <w:rPr>
          <w:rFonts w:ascii="Arial" w:hAnsi="Arial"/>
          <w:color w:val="auto"/>
          <w:sz w:val="20"/>
        </w:rPr>
        <w:t>Article 3: This Resolution takes effect from the date of its signing. Members of the Board of Directors, the Supervisory Board, and the Board of Management are responsible for the implementation of this Resolution.</w:t>
      </w:r>
    </w:p>
    <w:sectPr w:rsidR="00B90371" w:rsidRPr="004C643D">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67C26"/>
    <w:multiLevelType w:val="multilevel"/>
    <w:tmpl w:val="39F0122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71"/>
    <w:rsid w:val="004C643D"/>
    <w:rsid w:val="00B90371"/>
    <w:rsid w:val="00E35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2C0BF"/>
  <w15:docId w15:val="{70AA50E8-1726-4FA3-83A2-8AB02D5B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strike w:val="0"/>
      <w:color w:val="4774A6"/>
      <w:sz w:val="38"/>
      <w:szCs w:val="3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w w:val="60"/>
      <w:sz w:val="18"/>
      <w:szCs w:val="18"/>
      <w:u w:val="none"/>
      <w:shd w:val="clear" w:color="auto" w:fill="auto"/>
    </w:rPr>
  </w:style>
  <w:style w:type="character" w:customStyle="1" w:styleId="Bodytext4">
    <w:name w:val="Body text (4)_"/>
    <w:basedOn w:val="DefaultParagraphFont"/>
    <w:link w:val="Bodytext40"/>
    <w:rPr>
      <w:rFonts w:ascii="Segoe UI" w:eastAsia="Segoe UI" w:hAnsi="Segoe UI" w:cs="Segoe UI"/>
      <w:b/>
      <w:bCs/>
      <w:i w:val="0"/>
      <w:iCs w:val="0"/>
      <w:smallCaps w:val="0"/>
      <w:strike w:val="0"/>
      <w:w w:val="60"/>
      <w:sz w:val="15"/>
      <w:szCs w:val="15"/>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9"/>
      <w:szCs w:val="9"/>
      <w:u w:val="none"/>
      <w:shd w:val="clear" w:color="auto" w:fill="auto"/>
    </w:rPr>
  </w:style>
  <w:style w:type="paragraph" w:styleId="BodyText">
    <w:name w:val="Body Text"/>
    <w:basedOn w:val="Normal"/>
    <w:link w:val="BodyTextChar"/>
    <w:qFormat/>
    <w:pPr>
      <w:spacing w:line="326"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ind w:firstLine="460"/>
      <w:outlineLvl w:val="0"/>
    </w:pPr>
    <w:rPr>
      <w:rFonts w:ascii="Arial" w:eastAsia="Arial" w:hAnsi="Arial" w:cs="Arial"/>
      <w:smallCaps/>
      <w:color w:val="4774A6"/>
      <w:sz w:val="38"/>
      <w:szCs w:val="38"/>
    </w:rPr>
  </w:style>
  <w:style w:type="paragraph" w:customStyle="1" w:styleId="Bodytext30">
    <w:name w:val="Body text (3)"/>
    <w:basedOn w:val="Normal"/>
    <w:link w:val="Bodytext3"/>
    <w:rPr>
      <w:rFonts w:ascii="Arial" w:eastAsia="Arial" w:hAnsi="Arial" w:cs="Arial"/>
      <w:b/>
      <w:bCs/>
      <w:w w:val="60"/>
      <w:sz w:val="18"/>
      <w:szCs w:val="18"/>
    </w:rPr>
  </w:style>
  <w:style w:type="paragraph" w:customStyle="1" w:styleId="Bodytext40">
    <w:name w:val="Body text (4)"/>
    <w:basedOn w:val="Normal"/>
    <w:link w:val="Bodytext4"/>
    <w:pPr>
      <w:spacing w:line="235" w:lineRule="auto"/>
      <w:ind w:firstLine="660"/>
    </w:pPr>
    <w:rPr>
      <w:rFonts w:ascii="Segoe UI" w:eastAsia="Segoe UI" w:hAnsi="Segoe UI" w:cs="Segoe UI"/>
      <w:b/>
      <w:bCs/>
      <w:w w:val="60"/>
      <w:sz w:val="15"/>
      <w:szCs w:val="15"/>
    </w:rPr>
  </w:style>
  <w:style w:type="paragraph" w:customStyle="1" w:styleId="Bodytext20">
    <w:name w:val="Body text (2)"/>
    <w:basedOn w:val="Normal"/>
    <w:link w:val="Bodytext2"/>
    <w:pPr>
      <w:ind w:firstLine="420"/>
    </w:pPr>
    <w:rPr>
      <w:rFonts w:ascii="Times New Roman" w:eastAsia="Times New Roman" w:hAnsi="Times New Roman" w:cs="Times New Roman"/>
      <w:i/>
      <w:iCs/>
      <w:sz w:val="22"/>
      <w:szCs w:val="22"/>
    </w:rPr>
  </w:style>
  <w:style w:type="paragraph" w:customStyle="1" w:styleId="Heading21">
    <w:name w:val="Heading #2"/>
    <w:basedOn w:val="Normal"/>
    <w:link w:val="Heading20"/>
    <w:pPr>
      <w:spacing w:line="314" w:lineRule="auto"/>
      <w:jc w:val="center"/>
      <w:outlineLvl w:val="1"/>
    </w:pPr>
    <w:rPr>
      <w:rFonts w:ascii="Times New Roman" w:eastAsia="Times New Roman" w:hAnsi="Times New Roman" w:cs="Times New Roman"/>
      <w:b/>
      <w:bCs/>
    </w:rPr>
  </w:style>
  <w:style w:type="paragraph" w:customStyle="1" w:styleId="Bodytext50">
    <w:name w:val="Body text (5)"/>
    <w:basedOn w:val="Normal"/>
    <w:link w:val="Bodytext5"/>
    <w:pPr>
      <w:jc w:val="right"/>
    </w:pPr>
    <w:rPr>
      <w:rFonts w:ascii="Arial" w:eastAsia="Arial" w:hAnsi="Arial" w:cs="Arial"/>
      <w:sz w:val="9"/>
      <w:szCs w:val="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g0jWilYz3KP6M3LO0Vnsyg4Yg==">CgMxLjA4AHIhMXhQaFdJWjBlVmNIRURvNVR3RTBSbzV6UjNSQm5kdHdZ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1459</Characters>
  <Application>Microsoft Office Word</Application>
  <DocSecurity>0</DocSecurity>
  <Lines>12</Lines>
  <Paragraphs>3</Paragraphs>
  <ScaleCrop>false</ScaleCrop>
  <Company>Microsoft</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2024-07-18T03:10:00Z</dcterms:created>
  <dcterms:modified xsi:type="dcterms:W3CDTF">2024-07-19T03:32:00Z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5b75b17fcc42799c73399b6c2d3aea637756131097f4dde52e263dc90457c5a5</vt:lpwstr>
  </property>
</Properties>
</file>