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36CD30" w:rsidR="00BD239C" w:rsidRPr="00C56869" w:rsidRDefault="00C56869" w:rsidP="00CD53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6869">
        <w:rPr>
          <w:rFonts w:ascii="Arial" w:hAnsi="Arial" w:cs="Arial"/>
          <w:b/>
          <w:color w:val="010000"/>
          <w:sz w:val="20"/>
        </w:rPr>
        <w:t xml:space="preserve">KDM: Report on the results of the </w:t>
      </w:r>
      <w:r w:rsidR="00815271" w:rsidRPr="00C56869">
        <w:rPr>
          <w:rFonts w:ascii="Arial" w:hAnsi="Arial" w:cs="Arial"/>
          <w:b/>
          <w:color w:val="010000"/>
          <w:sz w:val="20"/>
        </w:rPr>
        <w:t>share issuance for dividend payment</w:t>
      </w:r>
    </w:p>
    <w:p w14:paraId="00000002" w14:textId="4659A07D" w:rsidR="00BD239C" w:rsidRPr="00C56869" w:rsidRDefault="00C56869" w:rsidP="00CD53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 xml:space="preserve">On July 16, 2024, GCL Group Joint Stock Company announced Report </w:t>
      </w:r>
      <w:r w:rsidR="00815271" w:rsidRPr="00C56869">
        <w:rPr>
          <w:rFonts w:ascii="Arial" w:hAnsi="Arial" w:cs="Arial"/>
          <w:color w:val="010000"/>
          <w:sz w:val="20"/>
        </w:rPr>
        <w:t xml:space="preserve">No. </w:t>
      </w:r>
      <w:r w:rsidRPr="00C56869">
        <w:rPr>
          <w:rFonts w:ascii="Arial" w:hAnsi="Arial" w:cs="Arial"/>
          <w:color w:val="010000"/>
          <w:sz w:val="20"/>
        </w:rPr>
        <w:t xml:space="preserve">21/BC-KDM on the results of the share issuance </w:t>
      </w:r>
      <w:r w:rsidR="00815271" w:rsidRPr="00C56869">
        <w:rPr>
          <w:rFonts w:ascii="Arial" w:hAnsi="Arial" w:cs="Arial"/>
          <w:color w:val="010000"/>
          <w:sz w:val="20"/>
        </w:rPr>
        <w:t>for dividend payment</w:t>
      </w:r>
      <w:r w:rsidRPr="00C56869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BD239C" w:rsidRPr="00C56869" w:rsidRDefault="00C56869" w:rsidP="00CD53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Share name: Shares of GCL Group Joint Stock Company</w:t>
      </w:r>
      <w:bookmarkStart w:id="0" w:name="_GoBack"/>
      <w:bookmarkEnd w:id="0"/>
    </w:p>
    <w:p w14:paraId="00000005" w14:textId="6C491423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Share type: common share</w:t>
      </w:r>
      <w:r w:rsidR="00815271" w:rsidRPr="00C56869">
        <w:rPr>
          <w:rFonts w:ascii="Arial" w:hAnsi="Arial" w:cs="Arial"/>
          <w:color w:val="010000"/>
          <w:sz w:val="20"/>
        </w:rPr>
        <w:t>s.</w:t>
      </w:r>
    </w:p>
    <w:p w14:paraId="00000006" w14:textId="7777777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Number of shares before the issuance: 7,100,000 shares</w:t>
      </w:r>
    </w:p>
    <w:p w14:paraId="00000007" w14:textId="77777777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Total number of issued shares: 7,100,000 shares.</w:t>
      </w:r>
    </w:p>
    <w:p w14:paraId="00000008" w14:textId="77777777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The number of outstanding shares: 7,100,000 shares.</w:t>
      </w:r>
    </w:p>
    <w:p w14:paraId="00000009" w14:textId="77777777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The number of treasury shares: 0 shares.</w:t>
      </w:r>
    </w:p>
    <w:p w14:paraId="0000000A" w14:textId="7777777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Number of shares expected to be issued: 497,000 shares.</w:t>
      </w:r>
    </w:p>
    <w:p w14:paraId="0000000B" w14:textId="68FF2B8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Right exercise rate: 100:7 (On the</w:t>
      </w:r>
      <w:r w:rsidR="00815271" w:rsidRPr="00C56869">
        <w:rPr>
          <w:rFonts w:ascii="Arial" w:hAnsi="Arial" w:cs="Arial"/>
          <w:color w:val="010000"/>
          <w:sz w:val="20"/>
        </w:rPr>
        <w:t xml:space="preserve"> record date for the list of shareholders to exercise the rights</w:t>
      </w:r>
      <w:r w:rsidRPr="00C56869">
        <w:rPr>
          <w:rFonts w:ascii="Arial" w:hAnsi="Arial" w:cs="Arial"/>
          <w:color w:val="010000"/>
          <w:sz w:val="20"/>
        </w:rPr>
        <w:t>, shareholders owning 01 share will be given 01 right to receive dividends and for every 100 rights they will receive 7 newly issued shares according to the rounding principle down to units)</w:t>
      </w:r>
    </w:p>
    <w:p w14:paraId="0000000C" w14:textId="2035BD2D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Source of capital for the issuance: Accumulated undistributed profit after tax as of December 31, 2023</w:t>
      </w:r>
      <w:r w:rsidR="00815271" w:rsidRPr="00C56869">
        <w:rPr>
          <w:rFonts w:ascii="Arial" w:hAnsi="Arial" w:cs="Arial"/>
          <w:color w:val="010000"/>
          <w:sz w:val="20"/>
        </w:rPr>
        <w:t>,</w:t>
      </w:r>
      <w:r w:rsidRPr="00C56869">
        <w:rPr>
          <w:rFonts w:ascii="Arial" w:hAnsi="Arial" w:cs="Arial"/>
          <w:color w:val="010000"/>
          <w:sz w:val="20"/>
        </w:rPr>
        <w:t xml:space="preserve"> on the Audited Financial Statements 2023 of GCL Group Joint Stock Company.</w:t>
      </w:r>
    </w:p>
    <w:p w14:paraId="0000000D" w14:textId="64BDE231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 xml:space="preserve">Plan for handling fractional shares: The number of new shares issued to </w:t>
      </w:r>
      <w:r w:rsidR="00815271" w:rsidRPr="00C56869">
        <w:rPr>
          <w:rFonts w:ascii="Arial" w:hAnsi="Arial" w:cs="Arial"/>
          <w:color w:val="010000"/>
          <w:sz w:val="20"/>
        </w:rPr>
        <w:t>implement the</w:t>
      </w:r>
      <w:r w:rsidRPr="00C56869">
        <w:rPr>
          <w:rFonts w:ascii="Arial" w:hAnsi="Arial" w:cs="Arial"/>
          <w:color w:val="010000"/>
          <w:sz w:val="20"/>
        </w:rPr>
        <w:t xml:space="preserve"> dividend payments </w:t>
      </w:r>
      <w:r w:rsidR="00815271" w:rsidRPr="00C56869">
        <w:rPr>
          <w:rFonts w:ascii="Arial" w:hAnsi="Arial" w:cs="Arial"/>
          <w:color w:val="010000"/>
          <w:sz w:val="20"/>
        </w:rPr>
        <w:t>by</w:t>
      </w:r>
      <w:r w:rsidRPr="00C56869">
        <w:rPr>
          <w:rFonts w:ascii="Arial" w:hAnsi="Arial" w:cs="Arial"/>
          <w:color w:val="010000"/>
          <w:sz w:val="20"/>
        </w:rPr>
        <w:t xml:space="preserve"> shares that each shareholder receives will be rounded to the nearest unit according to the rounding down principle. The resulting decimal fraction (if any) will be canceled and not issued.</w:t>
      </w:r>
    </w:p>
    <w:p w14:paraId="0000000E" w14:textId="7CD95D0E" w:rsidR="00BD239C" w:rsidRPr="00C56869" w:rsidRDefault="00C56869" w:rsidP="00CD53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 xml:space="preserve">For example: Shareholder A at the </w:t>
      </w:r>
      <w:r w:rsidR="00815271" w:rsidRPr="00C56869">
        <w:rPr>
          <w:rFonts w:ascii="Arial" w:hAnsi="Arial" w:cs="Arial"/>
          <w:color w:val="010000"/>
          <w:sz w:val="20"/>
        </w:rPr>
        <w:t xml:space="preserve">record date for the list of shareholders </w:t>
      </w:r>
      <w:r w:rsidRPr="00C56869">
        <w:rPr>
          <w:rFonts w:ascii="Arial" w:hAnsi="Arial" w:cs="Arial"/>
          <w:color w:val="010000"/>
          <w:sz w:val="20"/>
        </w:rPr>
        <w:t xml:space="preserve">to exercise the right to receive dividends </w:t>
      </w:r>
      <w:r w:rsidR="00815271" w:rsidRPr="00C56869">
        <w:rPr>
          <w:rFonts w:ascii="Arial" w:hAnsi="Arial" w:cs="Arial"/>
          <w:color w:val="010000"/>
          <w:sz w:val="20"/>
        </w:rPr>
        <w:t>by</w:t>
      </w:r>
      <w:r w:rsidRPr="00C56869">
        <w:rPr>
          <w:rFonts w:ascii="Arial" w:hAnsi="Arial" w:cs="Arial"/>
          <w:color w:val="010000"/>
          <w:sz w:val="20"/>
        </w:rPr>
        <w:t xml:space="preserve"> shares owning 215 shares, the number of additional shares that shareholder A receiving will be calculated as follows: 215/ 100* 7 = 15.05 shares. According to the plan to handle the fractional shares, the number of shares that shareholder A receives from receiving dividends is 15 shares (fractional shares of 0.05 will be canceled).</w:t>
      </w:r>
    </w:p>
    <w:p w14:paraId="0000000F" w14:textId="705BBC47" w:rsidR="00BD239C" w:rsidRPr="00C56869" w:rsidRDefault="00815271" w:rsidP="00CD53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The positive</w:t>
      </w:r>
      <w:r w:rsidR="00C56869" w:rsidRPr="00C56869">
        <w:rPr>
          <w:rFonts w:ascii="Arial" w:hAnsi="Arial" w:cs="Arial"/>
          <w:color w:val="010000"/>
          <w:sz w:val="20"/>
        </w:rPr>
        <w:t xml:space="preserve"> difference value between the total amount expected to be used to issue shares to pay dividends (calculated at par value of </w:t>
      </w:r>
      <w:r w:rsidRPr="00C56869">
        <w:rPr>
          <w:rFonts w:ascii="Arial" w:hAnsi="Arial" w:cs="Arial"/>
          <w:color w:val="010000"/>
          <w:sz w:val="20"/>
        </w:rPr>
        <w:t>VND</w:t>
      </w:r>
      <w:r w:rsidR="00C56869" w:rsidRPr="00C56869">
        <w:rPr>
          <w:rFonts w:ascii="Arial" w:hAnsi="Arial" w:cs="Arial"/>
          <w:color w:val="010000"/>
          <w:sz w:val="20"/>
        </w:rPr>
        <w:t xml:space="preserve">10,000/share) compared to the total value of actual shares distributed to existing shareholders (calculated at par value of </w:t>
      </w:r>
      <w:r w:rsidRPr="00C56869">
        <w:rPr>
          <w:rFonts w:ascii="Arial" w:hAnsi="Arial" w:cs="Arial"/>
          <w:color w:val="010000"/>
          <w:sz w:val="20"/>
        </w:rPr>
        <w:t>VND</w:t>
      </w:r>
      <w:r w:rsidR="00C56869" w:rsidRPr="00C56869">
        <w:rPr>
          <w:rFonts w:ascii="Arial" w:hAnsi="Arial" w:cs="Arial"/>
          <w:color w:val="010000"/>
          <w:sz w:val="20"/>
        </w:rPr>
        <w:t>10,000/share) will be retained in the Company's undistributed profit after tax.</w:t>
      </w:r>
    </w:p>
    <w:p w14:paraId="00000010" w14:textId="7777777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Completion date of the issuance: July 08, 2024</w:t>
      </w:r>
    </w:p>
    <w:p w14:paraId="00000011" w14:textId="77777777" w:rsidR="00BD239C" w:rsidRPr="00C56869" w:rsidRDefault="00C56869" w:rsidP="00CD5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Expected date to transfer shares: In July, August 2024</w:t>
      </w:r>
    </w:p>
    <w:p w14:paraId="00000012" w14:textId="77777777" w:rsidR="00BD239C" w:rsidRPr="00C56869" w:rsidRDefault="00C56869" w:rsidP="00CD53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Share issuance results</w:t>
      </w:r>
    </w:p>
    <w:p w14:paraId="00000013" w14:textId="77777777" w:rsidR="00BD239C" w:rsidRPr="00C56869" w:rsidRDefault="00C56869" w:rsidP="00CD5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Total number of distributed shares: 496,981 shares, in which:</w:t>
      </w:r>
    </w:p>
    <w:p w14:paraId="00000014" w14:textId="49FE72A5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 xml:space="preserve">Number of shares distributed to shareholders </w:t>
      </w:r>
      <w:r w:rsidR="00815271" w:rsidRPr="00C56869">
        <w:rPr>
          <w:rFonts w:ascii="Arial" w:hAnsi="Arial" w:cs="Arial"/>
          <w:color w:val="010000"/>
          <w:sz w:val="20"/>
        </w:rPr>
        <w:t>according to the rate</w:t>
      </w:r>
      <w:r w:rsidRPr="00C56869">
        <w:rPr>
          <w:rFonts w:ascii="Arial" w:hAnsi="Arial" w:cs="Arial"/>
          <w:color w:val="010000"/>
          <w:sz w:val="20"/>
        </w:rPr>
        <w:t>: 496,981 shares for 327 shareholders;</w:t>
      </w:r>
    </w:p>
    <w:p w14:paraId="00000015" w14:textId="46746D50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lastRenderedPageBreak/>
        <w:t>Number of shares for handling fractional shares: 19 shares (these fractional shares will be canceled)</w:t>
      </w:r>
    </w:p>
    <w:p w14:paraId="00000016" w14:textId="77777777" w:rsidR="00BD239C" w:rsidRPr="00C56869" w:rsidRDefault="00C56869" w:rsidP="00CD5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Total number of shares after the issuance (on July 08, 2024): 7,596,981 shares, in which:</w:t>
      </w:r>
    </w:p>
    <w:p w14:paraId="00000017" w14:textId="77777777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The number of outstanding shares: 7,596,981 shares;</w:t>
      </w:r>
    </w:p>
    <w:p w14:paraId="00000018" w14:textId="77777777" w:rsidR="00BD239C" w:rsidRPr="00C56869" w:rsidRDefault="00C56869" w:rsidP="00CD5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869">
        <w:rPr>
          <w:rFonts w:ascii="Arial" w:hAnsi="Arial" w:cs="Arial"/>
          <w:color w:val="010000"/>
          <w:sz w:val="20"/>
        </w:rPr>
        <w:t>The number of treasury shares: 0 shares.</w:t>
      </w:r>
    </w:p>
    <w:sectPr w:rsidR="00BD239C" w:rsidRPr="00C56869" w:rsidSect="00815271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9E6"/>
    <w:multiLevelType w:val="multilevel"/>
    <w:tmpl w:val="5FDA85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A86BAA"/>
    <w:multiLevelType w:val="multilevel"/>
    <w:tmpl w:val="452867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6F01A7"/>
    <w:multiLevelType w:val="multilevel"/>
    <w:tmpl w:val="02D4BB8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805E12"/>
    <w:multiLevelType w:val="multilevel"/>
    <w:tmpl w:val="4962B4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C"/>
    <w:rsid w:val="00815271"/>
    <w:rsid w:val="00BD239C"/>
    <w:rsid w:val="00C56869"/>
    <w:rsid w:val="00C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68F85"/>
  <w15:docId w15:val="{55841727-5E17-442B-99EE-08B6213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C9DA6"/>
      <w:sz w:val="14"/>
      <w:szCs w:val="14"/>
      <w:u w:val="singl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82" w:lineRule="auto"/>
      <w:jc w:val="right"/>
    </w:pPr>
    <w:rPr>
      <w:rFonts w:ascii="Arial" w:eastAsia="Arial" w:hAnsi="Arial" w:cs="Arial"/>
      <w:color w:val="CC9DA6"/>
      <w:sz w:val="14"/>
      <w:szCs w:val="1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TUJXe8UEkpNotPHqdQw3IO9UA==">CgMxLjA4AHIhMTRDVi1CY0k1bElnT0djUmRVbmQ3eENvNVllU0xtdW4w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2024-07-18T03:14:00Z</dcterms:created>
  <dcterms:modified xsi:type="dcterms:W3CDTF">2024-07-19T03:32:00Z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c2a8e1ff9049e734682874e48a551319dcf9d369caf1469a1a959377a8ebc6da</vt:lpwstr>
  </property>
</Properties>
</file>