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561EF" w:rsidRPr="0064173E" w:rsidRDefault="0064173E" w:rsidP="00607B56">
      <w:pPr>
        <w:pBdr>
          <w:top w:val="nil"/>
          <w:left w:val="nil"/>
          <w:bottom w:val="nil"/>
          <w:right w:val="nil"/>
          <w:between w:val="nil"/>
        </w:pBdr>
        <w:tabs>
          <w:tab w:val="left" w:pos="432"/>
          <w:tab w:val="left" w:pos="6567"/>
        </w:tabs>
        <w:spacing w:after="120" w:line="360" w:lineRule="auto"/>
        <w:jc w:val="both"/>
        <w:rPr>
          <w:rFonts w:ascii="Arial" w:eastAsia="Arial" w:hAnsi="Arial" w:cs="Arial"/>
          <w:b/>
          <w:color w:val="010000"/>
          <w:sz w:val="20"/>
          <w:szCs w:val="20"/>
        </w:rPr>
      </w:pPr>
      <w:r w:rsidRPr="0064173E">
        <w:rPr>
          <w:rFonts w:ascii="Arial" w:hAnsi="Arial" w:cs="Arial"/>
          <w:b/>
          <w:color w:val="010000"/>
          <w:sz w:val="20"/>
        </w:rPr>
        <w:t>KTS: Board Resolution</w:t>
      </w:r>
    </w:p>
    <w:p w14:paraId="00000002" w14:textId="58A9EA60" w:rsidR="004561EF" w:rsidRPr="0064173E" w:rsidRDefault="0064173E" w:rsidP="00607B56">
      <w:pPr>
        <w:pBdr>
          <w:top w:val="nil"/>
          <w:left w:val="nil"/>
          <w:bottom w:val="nil"/>
          <w:right w:val="nil"/>
          <w:between w:val="nil"/>
        </w:pBdr>
        <w:tabs>
          <w:tab w:val="left" w:pos="432"/>
          <w:tab w:val="left" w:pos="4800"/>
        </w:tabs>
        <w:spacing w:after="120" w:line="360" w:lineRule="auto"/>
        <w:jc w:val="both"/>
        <w:rPr>
          <w:rFonts w:ascii="Arial" w:eastAsia="Arial" w:hAnsi="Arial" w:cs="Arial"/>
          <w:color w:val="010000"/>
          <w:sz w:val="20"/>
          <w:szCs w:val="20"/>
        </w:rPr>
      </w:pPr>
      <w:r w:rsidRPr="0064173E">
        <w:rPr>
          <w:rFonts w:ascii="Arial" w:hAnsi="Arial" w:cs="Arial"/>
          <w:color w:val="010000"/>
          <w:sz w:val="20"/>
        </w:rPr>
        <w:t>On July 17, 2024, Kon Tum Sugar JSC announced Resolution No. 25/NQ-HDQT/2024 as follows:</w:t>
      </w:r>
    </w:p>
    <w:p w14:paraId="00000003" w14:textId="29A086C1" w:rsidR="004561EF" w:rsidRPr="0064173E" w:rsidRDefault="0064173E" w:rsidP="00607B5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173E">
        <w:rPr>
          <w:rFonts w:ascii="Arial" w:hAnsi="Arial" w:cs="Arial"/>
          <w:color w:val="010000"/>
          <w:sz w:val="20"/>
        </w:rPr>
        <w:t>‎‎Article 1. The Board of Directors approved the record date to exercise the right to attend the Annual General Meeting of Shareholders 2024 of Kon Tum Suga</w:t>
      </w:r>
      <w:bookmarkStart w:id="0" w:name="_GoBack"/>
      <w:bookmarkEnd w:id="0"/>
      <w:r w:rsidRPr="0064173E">
        <w:rPr>
          <w:rFonts w:ascii="Arial" w:hAnsi="Arial" w:cs="Arial"/>
          <w:color w:val="010000"/>
          <w:sz w:val="20"/>
        </w:rPr>
        <w:t>r JSC, specifically as follows:</w:t>
      </w:r>
    </w:p>
    <w:p w14:paraId="00000004" w14:textId="4FB6DB41" w:rsidR="004561EF" w:rsidRPr="0064173E" w:rsidRDefault="0064173E" w:rsidP="00607B5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4173E">
        <w:rPr>
          <w:rFonts w:ascii="Arial" w:hAnsi="Arial" w:cs="Arial"/>
          <w:color w:val="010000"/>
          <w:sz w:val="20"/>
        </w:rPr>
        <w:t>Agree on the record date to exercise the right to attend the Annual General Meeting of Shareholders 2024, time and venue of the Meeting as follows:</w:t>
      </w:r>
    </w:p>
    <w:p w14:paraId="00000005" w14:textId="77777777" w:rsidR="004561EF" w:rsidRPr="0064173E" w:rsidRDefault="0064173E" w:rsidP="00607B56">
      <w:pPr>
        <w:numPr>
          <w:ilvl w:val="0"/>
          <w:numId w:val="1"/>
        </w:numPr>
        <w:pBdr>
          <w:top w:val="nil"/>
          <w:left w:val="nil"/>
          <w:bottom w:val="nil"/>
          <w:right w:val="nil"/>
          <w:between w:val="nil"/>
        </w:pBdr>
        <w:tabs>
          <w:tab w:val="left" w:pos="432"/>
          <w:tab w:val="left" w:pos="2362"/>
        </w:tabs>
        <w:spacing w:after="120" w:line="360" w:lineRule="auto"/>
        <w:jc w:val="both"/>
        <w:rPr>
          <w:rFonts w:ascii="Arial" w:eastAsia="Arial" w:hAnsi="Arial" w:cs="Arial"/>
          <w:color w:val="010000"/>
          <w:sz w:val="20"/>
          <w:szCs w:val="20"/>
        </w:rPr>
      </w:pPr>
      <w:r w:rsidRPr="0064173E">
        <w:rPr>
          <w:rFonts w:ascii="Arial" w:hAnsi="Arial" w:cs="Arial"/>
          <w:color w:val="010000"/>
          <w:sz w:val="20"/>
        </w:rPr>
        <w:t>Share type: Common shares</w:t>
      </w:r>
    </w:p>
    <w:p w14:paraId="00000006" w14:textId="47180C29" w:rsidR="004561EF" w:rsidRPr="0064173E" w:rsidRDefault="0064173E" w:rsidP="00607B56">
      <w:pPr>
        <w:numPr>
          <w:ilvl w:val="0"/>
          <w:numId w:val="1"/>
        </w:numPr>
        <w:pBdr>
          <w:top w:val="nil"/>
          <w:left w:val="nil"/>
          <w:bottom w:val="nil"/>
          <w:right w:val="nil"/>
          <w:between w:val="nil"/>
        </w:pBdr>
        <w:tabs>
          <w:tab w:val="left" w:pos="432"/>
          <w:tab w:val="left" w:pos="2362"/>
        </w:tabs>
        <w:spacing w:after="120" w:line="360" w:lineRule="auto"/>
        <w:jc w:val="both"/>
        <w:rPr>
          <w:rFonts w:ascii="Arial" w:eastAsia="Arial" w:hAnsi="Arial" w:cs="Arial"/>
          <w:color w:val="010000"/>
          <w:sz w:val="20"/>
          <w:szCs w:val="20"/>
        </w:rPr>
      </w:pPr>
      <w:r w:rsidRPr="0064173E">
        <w:rPr>
          <w:rFonts w:ascii="Arial" w:hAnsi="Arial" w:cs="Arial"/>
          <w:color w:val="010000"/>
          <w:sz w:val="20"/>
        </w:rPr>
        <w:t>Par value: VND10,000/share</w:t>
      </w:r>
    </w:p>
    <w:p w14:paraId="00000007" w14:textId="77777777" w:rsidR="004561EF" w:rsidRPr="0064173E" w:rsidRDefault="0064173E" w:rsidP="00607B56">
      <w:pPr>
        <w:numPr>
          <w:ilvl w:val="0"/>
          <w:numId w:val="1"/>
        </w:numPr>
        <w:pBdr>
          <w:top w:val="nil"/>
          <w:left w:val="nil"/>
          <w:bottom w:val="nil"/>
          <w:right w:val="nil"/>
          <w:between w:val="nil"/>
        </w:pBdr>
        <w:tabs>
          <w:tab w:val="left" w:pos="432"/>
          <w:tab w:val="left" w:pos="2362"/>
        </w:tabs>
        <w:spacing w:after="120" w:line="360" w:lineRule="auto"/>
        <w:jc w:val="both"/>
        <w:rPr>
          <w:rFonts w:ascii="Arial" w:eastAsia="Arial" w:hAnsi="Arial" w:cs="Arial"/>
          <w:color w:val="010000"/>
          <w:sz w:val="20"/>
          <w:szCs w:val="20"/>
        </w:rPr>
      </w:pPr>
      <w:r w:rsidRPr="0064173E">
        <w:rPr>
          <w:rFonts w:ascii="Arial" w:hAnsi="Arial" w:cs="Arial"/>
          <w:color w:val="010000"/>
          <w:sz w:val="20"/>
        </w:rPr>
        <w:t>Implementation rate: 1:1 (01 share - 01 voting right)</w:t>
      </w:r>
    </w:p>
    <w:p w14:paraId="00000008" w14:textId="77777777" w:rsidR="004561EF" w:rsidRPr="0064173E" w:rsidRDefault="0064173E" w:rsidP="00607B56">
      <w:pPr>
        <w:numPr>
          <w:ilvl w:val="0"/>
          <w:numId w:val="1"/>
        </w:numPr>
        <w:pBdr>
          <w:top w:val="nil"/>
          <w:left w:val="nil"/>
          <w:bottom w:val="nil"/>
          <w:right w:val="nil"/>
          <w:between w:val="nil"/>
        </w:pBdr>
        <w:tabs>
          <w:tab w:val="left" w:pos="432"/>
          <w:tab w:val="left" w:pos="2362"/>
        </w:tabs>
        <w:spacing w:after="120" w:line="360" w:lineRule="auto"/>
        <w:jc w:val="both"/>
        <w:rPr>
          <w:rFonts w:ascii="Arial" w:eastAsia="Arial" w:hAnsi="Arial" w:cs="Arial"/>
          <w:color w:val="010000"/>
          <w:sz w:val="20"/>
          <w:szCs w:val="20"/>
        </w:rPr>
      </w:pPr>
      <w:r w:rsidRPr="0064173E">
        <w:rPr>
          <w:rFonts w:ascii="Arial" w:hAnsi="Arial" w:cs="Arial"/>
          <w:color w:val="010000"/>
          <w:sz w:val="20"/>
        </w:rPr>
        <w:t>Record date: August 06, 2024</w:t>
      </w:r>
    </w:p>
    <w:p w14:paraId="00000009" w14:textId="77777777" w:rsidR="004561EF" w:rsidRPr="0064173E" w:rsidRDefault="0064173E" w:rsidP="00607B56">
      <w:pPr>
        <w:numPr>
          <w:ilvl w:val="0"/>
          <w:numId w:val="1"/>
        </w:numPr>
        <w:pBdr>
          <w:top w:val="nil"/>
          <w:left w:val="nil"/>
          <w:bottom w:val="nil"/>
          <w:right w:val="nil"/>
          <w:between w:val="nil"/>
        </w:pBdr>
        <w:tabs>
          <w:tab w:val="left" w:pos="432"/>
          <w:tab w:val="left" w:pos="2352"/>
        </w:tabs>
        <w:spacing w:after="120" w:line="360" w:lineRule="auto"/>
        <w:jc w:val="both"/>
        <w:rPr>
          <w:rFonts w:ascii="Arial" w:eastAsia="Arial" w:hAnsi="Arial" w:cs="Arial"/>
          <w:color w:val="010000"/>
          <w:sz w:val="20"/>
          <w:szCs w:val="20"/>
        </w:rPr>
      </w:pPr>
      <w:r w:rsidRPr="0064173E">
        <w:rPr>
          <w:rFonts w:ascii="Arial" w:hAnsi="Arial" w:cs="Arial"/>
          <w:color w:val="010000"/>
          <w:sz w:val="20"/>
        </w:rPr>
        <w:t>Time to hold the Meeting: Expected to be in September 2024 and in accordance with the provisions of law, the Board of Directors of Kon Tum Sugar JSC will announce the specific time in the invitation to shareholders to attend the meeting,</w:t>
      </w:r>
    </w:p>
    <w:p w14:paraId="0000000B" w14:textId="31B66DAE" w:rsidR="004561EF" w:rsidRPr="0064173E" w:rsidRDefault="0064173E" w:rsidP="00607B56">
      <w:pPr>
        <w:numPr>
          <w:ilvl w:val="0"/>
          <w:numId w:val="1"/>
        </w:numPr>
        <w:pBdr>
          <w:top w:val="nil"/>
          <w:left w:val="nil"/>
          <w:bottom w:val="nil"/>
          <w:right w:val="nil"/>
          <w:between w:val="nil"/>
        </w:pBdr>
        <w:tabs>
          <w:tab w:val="left" w:pos="432"/>
          <w:tab w:val="left" w:pos="2362"/>
        </w:tabs>
        <w:spacing w:after="120" w:line="360" w:lineRule="auto"/>
        <w:jc w:val="both"/>
        <w:rPr>
          <w:rFonts w:ascii="Arial" w:eastAsia="Arial" w:hAnsi="Arial" w:cs="Arial"/>
          <w:color w:val="010000"/>
          <w:sz w:val="20"/>
          <w:szCs w:val="20"/>
        </w:rPr>
      </w:pPr>
      <w:r w:rsidRPr="0064173E">
        <w:rPr>
          <w:rFonts w:ascii="Arial" w:hAnsi="Arial" w:cs="Arial"/>
          <w:color w:val="010000"/>
          <w:sz w:val="20"/>
        </w:rPr>
        <w:t>Venue: At the Hall of Kon Tum Sugar JSC.  Address: Km2, Kon Ro Bang Village, Vinh Quang Commune, Kon Tum City, Kon Tum Province.</w:t>
      </w:r>
    </w:p>
    <w:p w14:paraId="0000000C" w14:textId="5E8C5BC9" w:rsidR="004561EF" w:rsidRPr="0064173E" w:rsidRDefault="0064173E" w:rsidP="00607B5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4173E">
        <w:rPr>
          <w:rFonts w:ascii="Arial" w:hAnsi="Arial" w:cs="Arial"/>
          <w:color w:val="010000"/>
          <w:sz w:val="20"/>
        </w:rPr>
        <w:t>Agree on the content submitted to the Annual General Meeting of Shareholders 2024 as follows:</w:t>
      </w:r>
    </w:p>
    <w:p w14:paraId="0000000D" w14:textId="43FED4F8" w:rsidR="004561EF" w:rsidRPr="0064173E" w:rsidRDefault="0064173E" w:rsidP="00607B56">
      <w:pPr>
        <w:numPr>
          <w:ilvl w:val="0"/>
          <w:numId w:val="2"/>
        </w:numPr>
        <w:pBdr>
          <w:top w:val="nil"/>
          <w:left w:val="nil"/>
          <w:bottom w:val="nil"/>
          <w:right w:val="nil"/>
          <w:between w:val="nil"/>
        </w:pBdr>
        <w:tabs>
          <w:tab w:val="left" w:pos="432"/>
          <w:tab w:val="left" w:pos="2674"/>
        </w:tabs>
        <w:spacing w:after="120" w:line="360" w:lineRule="auto"/>
        <w:jc w:val="both"/>
        <w:rPr>
          <w:rFonts w:ascii="Arial" w:eastAsia="Arial" w:hAnsi="Arial" w:cs="Arial"/>
          <w:color w:val="010000"/>
          <w:sz w:val="20"/>
          <w:szCs w:val="20"/>
        </w:rPr>
      </w:pPr>
      <w:r w:rsidRPr="0064173E">
        <w:rPr>
          <w:rFonts w:ascii="Arial" w:hAnsi="Arial" w:cs="Arial"/>
          <w:color w:val="010000"/>
          <w:sz w:val="20"/>
        </w:rPr>
        <w:t>Report of the Executive Board on operations and production and business results in 2023 - 2024 (from July 1, 2023, to June 30, 2024) and production and business plan for 2024 - 2025 (from July 1, 2024, to June 30, 2025);</w:t>
      </w:r>
    </w:p>
    <w:p w14:paraId="0000000E" w14:textId="77777777" w:rsidR="004561EF" w:rsidRPr="0064173E" w:rsidRDefault="0064173E" w:rsidP="00607B56">
      <w:pPr>
        <w:numPr>
          <w:ilvl w:val="0"/>
          <w:numId w:val="2"/>
        </w:numPr>
        <w:pBdr>
          <w:top w:val="nil"/>
          <w:left w:val="nil"/>
          <w:bottom w:val="nil"/>
          <w:right w:val="nil"/>
          <w:between w:val="nil"/>
        </w:pBdr>
        <w:tabs>
          <w:tab w:val="left" w:pos="432"/>
          <w:tab w:val="left" w:pos="2669"/>
        </w:tabs>
        <w:spacing w:after="120" w:line="360" w:lineRule="auto"/>
        <w:jc w:val="both"/>
        <w:rPr>
          <w:rFonts w:ascii="Arial" w:eastAsia="Arial" w:hAnsi="Arial" w:cs="Arial"/>
          <w:color w:val="010000"/>
          <w:sz w:val="20"/>
          <w:szCs w:val="20"/>
        </w:rPr>
      </w:pPr>
      <w:r w:rsidRPr="0064173E">
        <w:rPr>
          <w:rFonts w:ascii="Arial" w:hAnsi="Arial" w:cs="Arial"/>
          <w:color w:val="010000"/>
          <w:sz w:val="20"/>
        </w:rPr>
        <w:t>Report on activities of the Board of Directors in 2023 - 2024; Operational orientation for 2024-2025;</w:t>
      </w:r>
    </w:p>
    <w:p w14:paraId="0000000F" w14:textId="77777777" w:rsidR="004561EF" w:rsidRPr="0064173E" w:rsidRDefault="0064173E" w:rsidP="00607B56">
      <w:pPr>
        <w:numPr>
          <w:ilvl w:val="0"/>
          <w:numId w:val="2"/>
        </w:numPr>
        <w:pBdr>
          <w:top w:val="nil"/>
          <w:left w:val="nil"/>
          <w:bottom w:val="nil"/>
          <w:right w:val="nil"/>
          <w:between w:val="nil"/>
        </w:pBdr>
        <w:tabs>
          <w:tab w:val="left" w:pos="432"/>
          <w:tab w:val="left" w:pos="2674"/>
        </w:tabs>
        <w:spacing w:after="120" w:line="360" w:lineRule="auto"/>
        <w:jc w:val="both"/>
        <w:rPr>
          <w:rFonts w:ascii="Arial" w:eastAsia="Arial" w:hAnsi="Arial" w:cs="Arial"/>
          <w:color w:val="010000"/>
          <w:sz w:val="20"/>
          <w:szCs w:val="20"/>
        </w:rPr>
      </w:pPr>
      <w:r w:rsidRPr="0064173E">
        <w:rPr>
          <w:rFonts w:ascii="Arial" w:hAnsi="Arial" w:cs="Arial"/>
          <w:color w:val="010000"/>
          <w:sz w:val="20"/>
        </w:rPr>
        <w:t>Report on activities of the Supervisory Board in 2023 - 2024; Operational orientation for 2024-2025;</w:t>
      </w:r>
    </w:p>
    <w:p w14:paraId="00000010" w14:textId="77777777" w:rsidR="004561EF" w:rsidRPr="0064173E" w:rsidRDefault="0064173E" w:rsidP="00607B56">
      <w:pPr>
        <w:numPr>
          <w:ilvl w:val="0"/>
          <w:numId w:val="2"/>
        </w:numPr>
        <w:pBdr>
          <w:top w:val="nil"/>
          <w:left w:val="nil"/>
          <w:bottom w:val="nil"/>
          <w:right w:val="nil"/>
          <w:between w:val="nil"/>
        </w:pBdr>
        <w:tabs>
          <w:tab w:val="left" w:pos="432"/>
          <w:tab w:val="left" w:pos="2669"/>
        </w:tabs>
        <w:spacing w:after="120" w:line="360" w:lineRule="auto"/>
        <w:jc w:val="both"/>
        <w:rPr>
          <w:rFonts w:ascii="Arial" w:eastAsia="Arial" w:hAnsi="Arial" w:cs="Arial"/>
          <w:color w:val="010000"/>
          <w:sz w:val="20"/>
          <w:szCs w:val="20"/>
        </w:rPr>
      </w:pPr>
      <w:r w:rsidRPr="0064173E">
        <w:rPr>
          <w:rFonts w:ascii="Arial" w:hAnsi="Arial" w:cs="Arial"/>
          <w:color w:val="010000"/>
          <w:sz w:val="20"/>
        </w:rPr>
        <w:t>Approve the Audited Financial Statements 2023 - 2024;</w:t>
      </w:r>
    </w:p>
    <w:p w14:paraId="00000011" w14:textId="3B4C5C0F" w:rsidR="004561EF" w:rsidRPr="0064173E" w:rsidRDefault="0064173E" w:rsidP="00607B56">
      <w:pPr>
        <w:numPr>
          <w:ilvl w:val="0"/>
          <w:numId w:val="2"/>
        </w:numPr>
        <w:pBdr>
          <w:top w:val="nil"/>
          <w:left w:val="nil"/>
          <w:bottom w:val="nil"/>
          <w:right w:val="nil"/>
          <w:between w:val="nil"/>
        </w:pBdr>
        <w:tabs>
          <w:tab w:val="left" w:pos="432"/>
          <w:tab w:val="left" w:pos="2669"/>
        </w:tabs>
        <w:spacing w:after="120" w:line="360" w:lineRule="auto"/>
        <w:jc w:val="both"/>
        <w:rPr>
          <w:rFonts w:ascii="Arial" w:eastAsia="Arial" w:hAnsi="Arial" w:cs="Arial"/>
          <w:color w:val="010000"/>
          <w:sz w:val="20"/>
          <w:szCs w:val="20"/>
        </w:rPr>
      </w:pPr>
      <w:r w:rsidRPr="0064173E">
        <w:rPr>
          <w:rFonts w:ascii="Arial" w:hAnsi="Arial" w:cs="Arial"/>
          <w:color w:val="010000"/>
          <w:sz w:val="20"/>
        </w:rPr>
        <w:t>Approve the Proposal of the Board of Directors on profit distribution in 2023-2024;</w:t>
      </w:r>
    </w:p>
    <w:p w14:paraId="00000012" w14:textId="14959F5E" w:rsidR="004561EF" w:rsidRPr="0064173E" w:rsidRDefault="0064173E" w:rsidP="00607B56">
      <w:pPr>
        <w:numPr>
          <w:ilvl w:val="0"/>
          <w:numId w:val="2"/>
        </w:numPr>
        <w:pBdr>
          <w:top w:val="nil"/>
          <w:left w:val="nil"/>
          <w:bottom w:val="nil"/>
          <w:right w:val="nil"/>
          <w:between w:val="nil"/>
        </w:pBdr>
        <w:tabs>
          <w:tab w:val="left" w:pos="432"/>
          <w:tab w:val="left" w:pos="2674"/>
        </w:tabs>
        <w:spacing w:after="120" w:line="360" w:lineRule="auto"/>
        <w:jc w:val="both"/>
        <w:rPr>
          <w:rFonts w:ascii="Arial" w:eastAsia="Arial" w:hAnsi="Arial" w:cs="Arial"/>
          <w:color w:val="010000"/>
          <w:sz w:val="20"/>
          <w:szCs w:val="20"/>
        </w:rPr>
      </w:pPr>
      <w:r w:rsidRPr="0064173E">
        <w:rPr>
          <w:rFonts w:ascii="Arial" w:hAnsi="Arial" w:cs="Arial"/>
          <w:color w:val="010000"/>
          <w:sz w:val="20"/>
        </w:rPr>
        <w:t>Approve the Report on remuneration of the Board of Directors and the Supervisory Board in 2023-2024; Estimate remuneration of the Board of Directors and the Supervisory Board for 2024-2025;</w:t>
      </w:r>
    </w:p>
    <w:p w14:paraId="00000013" w14:textId="77777777" w:rsidR="004561EF" w:rsidRPr="0064173E" w:rsidRDefault="0064173E" w:rsidP="00607B56">
      <w:pPr>
        <w:numPr>
          <w:ilvl w:val="0"/>
          <w:numId w:val="2"/>
        </w:numPr>
        <w:pBdr>
          <w:top w:val="nil"/>
          <w:left w:val="nil"/>
          <w:bottom w:val="nil"/>
          <w:right w:val="nil"/>
          <w:between w:val="nil"/>
        </w:pBdr>
        <w:tabs>
          <w:tab w:val="left" w:pos="432"/>
          <w:tab w:val="left" w:pos="2669"/>
        </w:tabs>
        <w:spacing w:after="120" w:line="360" w:lineRule="auto"/>
        <w:jc w:val="both"/>
        <w:rPr>
          <w:rFonts w:ascii="Arial" w:eastAsia="Arial" w:hAnsi="Arial" w:cs="Arial"/>
          <w:color w:val="010000"/>
          <w:sz w:val="20"/>
          <w:szCs w:val="20"/>
        </w:rPr>
      </w:pPr>
      <w:r w:rsidRPr="0064173E">
        <w:rPr>
          <w:rFonts w:ascii="Arial" w:hAnsi="Arial" w:cs="Arial"/>
          <w:color w:val="010000"/>
          <w:sz w:val="20"/>
        </w:rPr>
        <w:t>Approve the proposal on selecting an audit company for the Financial Statements 2024-2025;</w:t>
      </w:r>
    </w:p>
    <w:p w14:paraId="00000014" w14:textId="5ED1D19E" w:rsidR="004561EF" w:rsidRPr="0064173E" w:rsidRDefault="0064173E" w:rsidP="00607B56">
      <w:pPr>
        <w:numPr>
          <w:ilvl w:val="0"/>
          <w:numId w:val="2"/>
        </w:numPr>
        <w:pBdr>
          <w:top w:val="nil"/>
          <w:left w:val="nil"/>
          <w:bottom w:val="nil"/>
          <w:right w:val="nil"/>
          <w:between w:val="nil"/>
        </w:pBdr>
        <w:tabs>
          <w:tab w:val="left" w:pos="432"/>
          <w:tab w:val="left" w:pos="2674"/>
        </w:tabs>
        <w:spacing w:after="120" w:line="360" w:lineRule="auto"/>
        <w:jc w:val="both"/>
        <w:rPr>
          <w:rFonts w:ascii="Arial" w:eastAsia="Arial" w:hAnsi="Arial" w:cs="Arial"/>
          <w:color w:val="010000"/>
          <w:sz w:val="20"/>
          <w:szCs w:val="20"/>
        </w:rPr>
      </w:pPr>
      <w:r w:rsidRPr="0064173E">
        <w:rPr>
          <w:rFonts w:ascii="Arial" w:hAnsi="Arial" w:cs="Arial"/>
          <w:color w:val="010000"/>
          <w:sz w:val="20"/>
        </w:rPr>
        <w:t>Approve the Proposal of the Board of Directors on production and business plan for 2024-2025;</w:t>
      </w:r>
    </w:p>
    <w:p w14:paraId="00000015" w14:textId="32637B6F" w:rsidR="004561EF" w:rsidRPr="0064173E" w:rsidRDefault="0064173E" w:rsidP="00607B56">
      <w:pPr>
        <w:numPr>
          <w:ilvl w:val="0"/>
          <w:numId w:val="2"/>
        </w:numPr>
        <w:pBdr>
          <w:top w:val="nil"/>
          <w:left w:val="nil"/>
          <w:bottom w:val="nil"/>
          <w:right w:val="nil"/>
          <w:between w:val="nil"/>
        </w:pBdr>
        <w:tabs>
          <w:tab w:val="left" w:pos="432"/>
          <w:tab w:val="left" w:pos="2674"/>
        </w:tabs>
        <w:spacing w:after="120" w:line="360" w:lineRule="auto"/>
        <w:jc w:val="both"/>
        <w:rPr>
          <w:rFonts w:ascii="Arial" w:eastAsia="Arial" w:hAnsi="Arial" w:cs="Arial"/>
          <w:color w:val="010000"/>
          <w:sz w:val="20"/>
          <w:szCs w:val="20"/>
        </w:rPr>
      </w:pPr>
      <w:r w:rsidRPr="0064173E">
        <w:rPr>
          <w:rFonts w:ascii="Arial" w:hAnsi="Arial" w:cs="Arial"/>
          <w:color w:val="010000"/>
          <w:sz w:val="20"/>
        </w:rPr>
        <w:t>Some other contents under the authority of the General Meeting of Shareholders.</w:t>
      </w:r>
    </w:p>
    <w:p w14:paraId="00000016" w14:textId="17A68F46" w:rsidR="004561EF" w:rsidRPr="0064173E" w:rsidRDefault="0064173E" w:rsidP="00607B5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173E">
        <w:rPr>
          <w:rFonts w:ascii="Arial" w:hAnsi="Arial" w:cs="Arial"/>
          <w:color w:val="010000"/>
          <w:sz w:val="20"/>
        </w:rPr>
        <w:t>‎‎Article 2. Members of the Board of Directors, according to each assigned task, complete the content submitted to the General Meeting of Shareholders according to the program agreed by the Board of Directors.</w:t>
      </w:r>
    </w:p>
    <w:p w14:paraId="00000017" w14:textId="249ECBEC" w:rsidR="004561EF" w:rsidRPr="0064173E" w:rsidRDefault="0064173E" w:rsidP="00607B5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173E">
        <w:rPr>
          <w:rFonts w:ascii="Arial" w:hAnsi="Arial" w:cs="Arial"/>
          <w:color w:val="010000"/>
          <w:sz w:val="20"/>
        </w:rPr>
        <w:t xml:space="preserve">The Board of Directors assigned the General Manager to direct affiliated subsidiaries to prepare </w:t>
      </w:r>
      <w:r w:rsidRPr="0064173E">
        <w:rPr>
          <w:rFonts w:ascii="Arial" w:hAnsi="Arial" w:cs="Arial"/>
          <w:color w:val="010000"/>
          <w:sz w:val="20"/>
        </w:rPr>
        <w:lastRenderedPageBreak/>
        <w:t>conditions to organize the Meeting.</w:t>
      </w:r>
    </w:p>
    <w:p w14:paraId="00000018" w14:textId="43A3A105" w:rsidR="004561EF" w:rsidRPr="0064173E" w:rsidRDefault="0064173E" w:rsidP="00607B56">
      <w:pPr>
        <w:pBdr>
          <w:top w:val="nil"/>
          <w:left w:val="nil"/>
          <w:bottom w:val="nil"/>
          <w:right w:val="nil"/>
          <w:between w:val="nil"/>
        </w:pBdr>
        <w:tabs>
          <w:tab w:val="left" w:pos="432"/>
          <w:tab w:val="left" w:pos="10864"/>
        </w:tabs>
        <w:spacing w:after="120" w:line="360" w:lineRule="auto"/>
        <w:jc w:val="both"/>
        <w:rPr>
          <w:rFonts w:ascii="Arial" w:eastAsia="Arial" w:hAnsi="Arial" w:cs="Arial"/>
          <w:color w:val="010000"/>
          <w:sz w:val="20"/>
          <w:szCs w:val="20"/>
        </w:rPr>
      </w:pPr>
      <w:r w:rsidRPr="0064173E">
        <w:rPr>
          <w:rFonts w:ascii="Arial" w:hAnsi="Arial" w:cs="Arial"/>
          <w:color w:val="010000"/>
          <w:sz w:val="20"/>
        </w:rPr>
        <w:t>Assign the Secretariat of the Board of Directors to make a notice to record the list of shareholders in accordance with the provisions of Law and the Company's Charter, and at the same time prepare documents for the General Meeting of Shareholders according to the regulations of the listed company; Disclose meeting information on time and prepare documents for shareholders attending the meeting.</w:t>
      </w:r>
    </w:p>
    <w:p w14:paraId="00000019" w14:textId="776523D7" w:rsidR="004561EF" w:rsidRPr="0064173E" w:rsidRDefault="0064173E" w:rsidP="00607B5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173E">
        <w:rPr>
          <w:rFonts w:ascii="Arial" w:hAnsi="Arial" w:cs="Arial"/>
          <w:color w:val="010000"/>
          <w:sz w:val="20"/>
        </w:rPr>
        <w:t>Article 3. This Resolution takes effect from the date of its signing. Members of the Board of Directors, the Supervisory Board, the Board of Management of the Company, relevant units and individuals are responsible for implementing this Resolution./.</w:t>
      </w:r>
    </w:p>
    <w:sectPr w:rsidR="004561EF" w:rsidRPr="0064173E" w:rsidSect="0064173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E173C"/>
    <w:multiLevelType w:val="multilevel"/>
    <w:tmpl w:val="114E5F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4502FC9"/>
    <w:multiLevelType w:val="multilevel"/>
    <w:tmpl w:val="C040C9EA"/>
    <w:lvl w:ilvl="0">
      <w:start w:val="1"/>
      <w:numFmt w:val="decimal"/>
      <w:lvlText w:val="%1."/>
      <w:lvlJc w:val="left"/>
      <w:pPr>
        <w:ind w:left="720" w:hanging="36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F275163"/>
    <w:multiLevelType w:val="multilevel"/>
    <w:tmpl w:val="0394B2A8"/>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EF"/>
    <w:rsid w:val="004561EF"/>
    <w:rsid w:val="00607B56"/>
    <w:rsid w:val="0064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4D692"/>
  <w15:docId w15:val="{7C8B8D5C-3F05-42CF-8187-3FCFB063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5">
    <w:name w:val="Body text (5)_"/>
    <w:basedOn w:val="DefaultParagraphFont"/>
    <w:link w:val="Bodytext50"/>
    <w:rPr>
      <w:rFonts w:ascii="Tahoma" w:eastAsia="Tahoma" w:hAnsi="Tahoma" w:cs="Tahoma"/>
      <w:b w:val="0"/>
      <w:bCs w:val="0"/>
      <w:i w:val="0"/>
      <w:iCs w:val="0"/>
      <w:smallCaps w:val="0"/>
      <w:strike w:val="0"/>
      <w:color w:val="DE3864"/>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Bodytext50">
    <w:name w:val="Body text (5)"/>
    <w:basedOn w:val="Normal"/>
    <w:link w:val="Bodytext5"/>
    <w:pPr>
      <w:jc w:val="right"/>
    </w:pPr>
    <w:rPr>
      <w:rFonts w:ascii="Tahoma" w:eastAsia="Tahoma" w:hAnsi="Tahoma" w:cs="Tahoma"/>
      <w:color w:val="DE3864"/>
      <w:sz w:val="22"/>
      <w:szCs w:val="22"/>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Bodytext30">
    <w:name w:val="Body text (3)"/>
    <w:basedOn w:val="Normal"/>
    <w:link w:val="Bodytext3"/>
    <w:rPr>
      <w:rFonts w:ascii="Times New Roman" w:eastAsia="Times New Roman" w:hAnsi="Times New Roman" w:cs="Times New Roman"/>
      <w:color w:val="FF0000"/>
      <w:sz w:val="17"/>
      <w:szCs w:val="17"/>
    </w:rPr>
  </w:style>
  <w:style w:type="paragraph" w:customStyle="1" w:styleId="Bodytext20">
    <w:name w:val="Body text (2)"/>
    <w:basedOn w:val="Normal"/>
    <w:link w:val="Bodytext2"/>
    <w:pPr>
      <w:ind w:left="2080"/>
    </w:pPr>
    <w:rPr>
      <w:rFonts w:ascii="Times New Roman" w:eastAsia="Times New Roman" w:hAnsi="Times New Roman" w:cs="Times New Roman"/>
      <w:b/>
      <w:bCs/>
    </w:rPr>
  </w:style>
  <w:style w:type="paragraph" w:customStyle="1" w:styleId="Heading11">
    <w:name w:val="Heading #1"/>
    <w:basedOn w:val="Normal"/>
    <w:link w:val="Heading10"/>
    <w:pPr>
      <w:spacing w:line="300" w:lineRule="auto"/>
      <w:ind w:left="1040"/>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O8iGq96ASz+NzobIC6UdXwULQQ==">CgMxLjA4AHIhMTdHS09EV0c3OFBoUUZlXy04Yk51MmhPWjBmeWR4bDc0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2599</Characters>
  <Application>Microsoft Office Word</Application>
  <DocSecurity>0</DocSecurity>
  <Lines>21</Lines>
  <Paragraphs>6</Paragraphs>
  <ScaleCrop>false</ScaleCrop>
  <Company>Microsoft</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2024-07-18T03:19:00Z</dcterms:created>
  <dcterms:modified xsi:type="dcterms:W3CDTF">2024-07-19T03:36:00Z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dacb7e44bbeaebcb5e1040ea942304cf1144211c4a02770a07c902472d5bf802</vt:lpwstr>
  </property>
</Properties>
</file>