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5D" w:rsidRPr="00374577" w:rsidRDefault="00374577" w:rsidP="00374577">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74577">
        <w:rPr>
          <w:rFonts w:ascii="Arial" w:hAnsi="Arial" w:cs="Arial"/>
          <w:b/>
          <w:color w:val="010000"/>
          <w:sz w:val="20"/>
        </w:rPr>
        <w:t>MPT: Annual General Mandate 2024</w:t>
      </w:r>
    </w:p>
    <w:p w:rsidR="0053375D" w:rsidRPr="00374577" w:rsidRDefault="00374577" w:rsidP="0037457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 xml:space="preserve">On July 15, 2024, MPT Group Joint Stock Company announced General Mandate No. 01/2024/NQ-DHDCD as follows: </w:t>
      </w:r>
    </w:p>
    <w:p w:rsidR="0053375D" w:rsidRPr="00374577" w:rsidRDefault="00374577" w:rsidP="00374577">
      <w:pPr>
        <w:pBdr>
          <w:top w:val="nil"/>
          <w:left w:val="nil"/>
          <w:bottom w:val="nil"/>
          <w:right w:val="nil"/>
          <w:between w:val="nil"/>
        </w:pBdr>
        <w:tabs>
          <w:tab w:val="left" w:pos="432"/>
          <w:tab w:val="left" w:pos="8866"/>
        </w:tabs>
        <w:spacing w:after="120" w:line="360" w:lineRule="auto"/>
        <w:rPr>
          <w:rFonts w:ascii="Arial" w:eastAsia="Arial" w:hAnsi="Arial" w:cs="Arial"/>
          <w:color w:val="010000"/>
          <w:sz w:val="20"/>
          <w:szCs w:val="20"/>
        </w:rPr>
      </w:pPr>
      <w:r w:rsidRPr="00374577">
        <w:rPr>
          <w:rFonts w:ascii="Arial" w:hAnsi="Arial" w:cs="Arial"/>
          <w:color w:val="010000"/>
          <w:sz w:val="20"/>
        </w:rPr>
        <w:t>‎‎Article 1. Approve the following contents:</w:t>
      </w:r>
    </w:p>
    <w:p w:rsidR="0053375D" w:rsidRPr="00374577" w:rsidRDefault="00374577" w:rsidP="00374577">
      <w:pPr>
        <w:numPr>
          <w:ilvl w:val="0"/>
          <w:numId w:val="3"/>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sidRPr="00374577">
        <w:rPr>
          <w:rFonts w:ascii="Arial" w:hAnsi="Arial" w:cs="Arial"/>
          <w:color w:val="010000"/>
          <w:sz w:val="20"/>
        </w:rPr>
        <w:t>Approve the Report of the Board of Directors.</w:t>
      </w:r>
    </w:p>
    <w:p w:rsidR="0053375D" w:rsidRPr="00374577" w:rsidRDefault="00374577" w:rsidP="00374577">
      <w:pPr>
        <w:numPr>
          <w:ilvl w:val="0"/>
          <w:numId w:val="3"/>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sidRPr="00374577">
        <w:rPr>
          <w:rFonts w:ascii="Arial" w:hAnsi="Arial" w:cs="Arial"/>
          <w:color w:val="010000"/>
          <w:sz w:val="20"/>
        </w:rPr>
        <w:t>Approve the Report on Business Activities 2023 and Business Plan 2024 of the Company.</w:t>
      </w:r>
    </w:p>
    <w:p w:rsidR="0053375D" w:rsidRPr="00374577" w:rsidRDefault="00374577" w:rsidP="00374577">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74577">
        <w:rPr>
          <w:rFonts w:ascii="Arial" w:hAnsi="Arial" w:cs="Arial"/>
          <w:color w:val="010000"/>
          <w:sz w:val="20"/>
        </w:rPr>
        <w:t>Business results (according to the Audited Financial Statements 2023).</w:t>
      </w:r>
    </w:p>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1"/>
        <w:gridCol w:w="1744"/>
        <w:gridCol w:w="1742"/>
        <w:gridCol w:w="2240"/>
      </w:tblGrid>
      <w:tr w:rsidR="0053375D" w:rsidRPr="00374577" w:rsidTr="00374577">
        <w:tc>
          <w:tcPr>
            <w:tcW w:w="1825"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Targets</w:t>
            </w:r>
          </w:p>
        </w:tc>
        <w:tc>
          <w:tcPr>
            <w:tcW w:w="96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2023</w:t>
            </w:r>
          </w:p>
        </w:tc>
        <w:tc>
          <w:tcPr>
            <w:tcW w:w="966"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2022</w:t>
            </w:r>
          </w:p>
        </w:tc>
        <w:tc>
          <w:tcPr>
            <w:tcW w:w="1242"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Increase/Decrease</w:t>
            </w:r>
          </w:p>
        </w:tc>
      </w:tr>
      <w:tr w:rsidR="0053375D" w:rsidRPr="00374577" w:rsidTr="00374577">
        <w:tc>
          <w:tcPr>
            <w:tcW w:w="1825"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Total asset value</w:t>
            </w:r>
          </w:p>
        </w:tc>
        <w:tc>
          <w:tcPr>
            <w:tcW w:w="96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196.55</w:t>
            </w:r>
          </w:p>
        </w:tc>
        <w:tc>
          <w:tcPr>
            <w:tcW w:w="966"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197.14</w:t>
            </w:r>
          </w:p>
        </w:tc>
        <w:tc>
          <w:tcPr>
            <w:tcW w:w="1242"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-0.1%</w:t>
            </w:r>
          </w:p>
        </w:tc>
      </w:tr>
      <w:tr w:rsidR="0053375D" w:rsidRPr="00374577" w:rsidTr="00374577">
        <w:tc>
          <w:tcPr>
            <w:tcW w:w="1825"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Net revenue</w:t>
            </w:r>
          </w:p>
        </w:tc>
        <w:tc>
          <w:tcPr>
            <w:tcW w:w="96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0.09</w:t>
            </w:r>
          </w:p>
        </w:tc>
        <w:tc>
          <w:tcPr>
            <w:tcW w:w="966"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0.29</w:t>
            </w:r>
          </w:p>
        </w:tc>
        <w:tc>
          <w:tcPr>
            <w:tcW w:w="1242"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-68.9%</w:t>
            </w:r>
          </w:p>
        </w:tc>
      </w:tr>
      <w:tr w:rsidR="0053375D" w:rsidRPr="00374577" w:rsidTr="00374577">
        <w:tc>
          <w:tcPr>
            <w:tcW w:w="1825"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Profit from business activities</w:t>
            </w:r>
          </w:p>
        </w:tc>
        <w:tc>
          <w:tcPr>
            <w:tcW w:w="96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(0.37)</w:t>
            </w:r>
          </w:p>
        </w:tc>
        <w:tc>
          <w:tcPr>
            <w:tcW w:w="966"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(1.39)</w:t>
            </w:r>
          </w:p>
        </w:tc>
        <w:tc>
          <w:tcPr>
            <w:tcW w:w="1242"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73.4%</w:t>
            </w:r>
          </w:p>
        </w:tc>
      </w:tr>
      <w:tr w:rsidR="0053375D" w:rsidRPr="00374577" w:rsidTr="00374577">
        <w:tc>
          <w:tcPr>
            <w:tcW w:w="1825"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Other profits</w:t>
            </w:r>
          </w:p>
        </w:tc>
        <w:tc>
          <w:tcPr>
            <w:tcW w:w="967" w:type="pct"/>
            <w:shd w:val="clear" w:color="auto" w:fill="auto"/>
            <w:tcMar>
              <w:top w:w="0" w:type="dxa"/>
              <w:bottom w:w="0" w:type="dxa"/>
            </w:tcMar>
            <w:vAlign w:val="center"/>
          </w:tcPr>
          <w:p w:rsidR="0053375D" w:rsidRPr="00374577" w:rsidRDefault="0053375D" w:rsidP="00374577">
            <w:pPr>
              <w:tabs>
                <w:tab w:val="left" w:pos="432"/>
              </w:tabs>
              <w:spacing w:after="120" w:line="360" w:lineRule="auto"/>
              <w:rPr>
                <w:rFonts w:ascii="Arial" w:eastAsia="Arial" w:hAnsi="Arial" w:cs="Arial"/>
                <w:color w:val="010000"/>
                <w:sz w:val="20"/>
                <w:szCs w:val="20"/>
              </w:rPr>
            </w:pPr>
          </w:p>
        </w:tc>
        <w:tc>
          <w:tcPr>
            <w:tcW w:w="966" w:type="pct"/>
            <w:shd w:val="clear" w:color="auto" w:fill="auto"/>
            <w:tcMar>
              <w:top w:w="0" w:type="dxa"/>
              <w:bottom w:w="0" w:type="dxa"/>
            </w:tcMar>
            <w:vAlign w:val="center"/>
          </w:tcPr>
          <w:p w:rsidR="0053375D" w:rsidRPr="00374577" w:rsidRDefault="0053375D" w:rsidP="00374577">
            <w:pPr>
              <w:tabs>
                <w:tab w:val="left" w:pos="432"/>
              </w:tabs>
              <w:spacing w:after="120" w:line="360" w:lineRule="auto"/>
              <w:rPr>
                <w:rFonts w:ascii="Arial" w:eastAsia="Arial" w:hAnsi="Arial" w:cs="Arial"/>
                <w:color w:val="010000"/>
                <w:sz w:val="20"/>
                <w:szCs w:val="20"/>
              </w:rPr>
            </w:pPr>
          </w:p>
        </w:tc>
        <w:tc>
          <w:tcPr>
            <w:tcW w:w="1242" w:type="pct"/>
            <w:shd w:val="clear" w:color="auto" w:fill="auto"/>
            <w:tcMar>
              <w:top w:w="0" w:type="dxa"/>
              <w:bottom w:w="0" w:type="dxa"/>
            </w:tcMar>
            <w:vAlign w:val="center"/>
          </w:tcPr>
          <w:p w:rsidR="0053375D" w:rsidRPr="00374577" w:rsidRDefault="0053375D" w:rsidP="00374577">
            <w:pPr>
              <w:tabs>
                <w:tab w:val="left" w:pos="432"/>
              </w:tabs>
              <w:spacing w:after="120" w:line="360" w:lineRule="auto"/>
              <w:rPr>
                <w:rFonts w:ascii="Arial" w:eastAsia="Arial" w:hAnsi="Arial" w:cs="Arial"/>
                <w:color w:val="010000"/>
                <w:sz w:val="20"/>
                <w:szCs w:val="20"/>
              </w:rPr>
            </w:pPr>
          </w:p>
        </w:tc>
      </w:tr>
      <w:tr w:rsidR="0053375D" w:rsidRPr="00374577" w:rsidTr="00374577">
        <w:tc>
          <w:tcPr>
            <w:tcW w:w="1825"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Profit before tax</w:t>
            </w:r>
          </w:p>
        </w:tc>
        <w:tc>
          <w:tcPr>
            <w:tcW w:w="96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(1.11)</w:t>
            </w:r>
          </w:p>
        </w:tc>
        <w:tc>
          <w:tcPr>
            <w:tcW w:w="966"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(1.62)</w:t>
            </w:r>
          </w:p>
        </w:tc>
        <w:tc>
          <w:tcPr>
            <w:tcW w:w="1242"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31.5%</w:t>
            </w:r>
          </w:p>
        </w:tc>
      </w:tr>
      <w:tr w:rsidR="0053375D" w:rsidRPr="00374577" w:rsidTr="00374577">
        <w:tc>
          <w:tcPr>
            <w:tcW w:w="1825"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Profit after tax</w:t>
            </w:r>
          </w:p>
        </w:tc>
        <w:tc>
          <w:tcPr>
            <w:tcW w:w="96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(2.54)</w:t>
            </w:r>
          </w:p>
        </w:tc>
        <w:tc>
          <w:tcPr>
            <w:tcW w:w="966"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(1.62)</w:t>
            </w:r>
          </w:p>
        </w:tc>
        <w:tc>
          <w:tcPr>
            <w:tcW w:w="1242"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-56.8%</w:t>
            </w:r>
          </w:p>
        </w:tc>
      </w:tr>
    </w:tbl>
    <w:p w:rsidR="0053375D" w:rsidRPr="00374577" w:rsidRDefault="00374577" w:rsidP="00374577">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74577">
        <w:rPr>
          <w:rFonts w:ascii="Arial" w:hAnsi="Arial" w:cs="Arial"/>
          <w:color w:val="010000"/>
          <w:sz w:val="20"/>
        </w:rPr>
        <w:t>Results compared to Plan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09"/>
        <w:gridCol w:w="1141"/>
        <w:gridCol w:w="1766"/>
        <w:gridCol w:w="1854"/>
        <w:gridCol w:w="1647"/>
      </w:tblGrid>
      <w:tr w:rsidR="0053375D" w:rsidRPr="00374577" w:rsidTr="00374577">
        <w:tc>
          <w:tcPr>
            <w:tcW w:w="144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Targets</w:t>
            </w:r>
          </w:p>
        </w:tc>
        <w:tc>
          <w:tcPr>
            <w:tcW w:w="633"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Unit</w:t>
            </w:r>
          </w:p>
        </w:tc>
        <w:tc>
          <w:tcPr>
            <w:tcW w:w="979"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Plan 2023</w:t>
            </w:r>
          </w:p>
        </w:tc>
        <w:tc>
          <w:tcPr>
            <w:tcW w:w="102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Results 2023</w:t>
            </w:r>
          </w:p>
        </w:tc>
        <w:tc>
          <w:tcPr>
            <w:tcW w:w="913"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Results/Plan (%)</w:t>
            </w:r>
          </w:p>
        </w:tc>
      </w:tr>
      <w:tr w:rsidR="0053375D" w:rsidRPr="00374577" w:rsidTr="00374577">
        <w:tc>
          <w:tcPr>
            <w:tcW w:w="144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Total revenue</w:t>
            </w:r>
          </w:p>
        </w:tc>
        <w:tc>
          <w:tcPr>
            <w:tcW w:w="633"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Billion VND</w:t>
            </w:r>
          </w:p>
        </w:tc>
        <w:tc>
          <w:tcPr>
            <w:tcW w:w="979"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6,800,000,000</w:t>
            </w:r>
          </w:p>
        </w:tc>
        <w:tc>
          <w:tcPr>
            <w:tcW w:w="102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89,680,000</w:t>
            </w:r>
          </w:p>
        </w:tc>
        <w:tc>
          <w:tcPr>
            <w:tcW w:w="913"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1.32%</w:t>
            </w:r>
          </w:p>
        </w:tc>
      </w:tr>
      <w:tr w:rsidR="0053375D" w:rsidRPr="00374577" w:rsidTr="00374577">
        <w:tc>
          <w:tcPr>
            <w:tcW w:w="144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Profit before tax</w:t>
            </w:r>
          </w:p>
        </w:tc>
        <w:tc>
          <w:tcPr>
            <w:tcW w:w="633"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Billion VND</w:t>
            </w:r>
          </w:p>
        </w:tc>
        <w:tc>
          <w:tcPr>
            <w:tcW w:w="979"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(700,000,000)</w:t>
            </w:r>
          </w:p>
        </w:tc>
        <w:tc>
          <w:tcPr>
            <w:tcW w:w="102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(1,109,912,039)</w:t>
            </w:r>
          </w:p>
        </w:tc>
        <w:tc>
          <w:tcPr>
            <w:tcW w:w="913"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(58.4)%</w:t>
            </w:r>
          </w:p>
        </w:tc>
      </w:tr>
      <w:tr w:rsidR="0053375D" w:rsidRPr="00374577" w:rsidTr="00374577">
        <w:tc>
          <w:tcPr>
            <w:tcW w:w="144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Profit after tax</w:t>
            </w:r>
          </w:p>
        </w:tc>
        <w:tc>
          <w:tcPr>
            <w:tcW w:w="633"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Billion VND</w:t>
            </w:r>
          </w:p>
        </w:tc>
        <w:tc>
          <w:tcPr>
            <w:tcW w:w="979"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(700,000,000)</w:t>
            </w:r>
          </w:p>
        </w:tc>
        <w:tc>
          <w:tcPr>
            <w:tcW w:w="102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(2,543,550,575)</w:t>
            </w:r>
          </w:p>
        </w:tc>
        <w:tc>
          <w:tcPr>
            <w:tcW w:w="913" w:type="pct"/>
            <w:shd w:val="clear" w:color="auto" w:fill="auto"/>
            <w:tcMar>
              <w:top w:w="0" w:type="dxa"/>
              <w:bottom w:w="0" w:type="dxa"/>
            </w:tcMar>
            <w:vAlign w:val="center"/>
          </w:tcPr>
          <w:p w:rsidR="0053375D" w:rsidRPr="00374577" w:rsidRDefault="0053375D" w:rsidP="00374577">
            <w:pPr>
              <w:tabs>
                <w:tab w:val="left" w:pos="432"/>
              </w:tabs>
              <w:spacing w:after="120" w:line="360" w:lineRule="auto"/>
              <w:rPr>
                <w:rFonts w:ascii="Arial" w:eastAsia="Arial" w:hAnsi="Arial" w:cs="Arial"/>
                <w:color w:val="010000"/>
                <w:sz w:val="20"/>
                <w:szCs w:val="20"/>
              </w:rPr>
            </w:pPr>
          </w:p>
        </w:tc>
      </w:tr>
    </w:tbl>
    <w:p w:rsidR="0053375D" w:rsidRPr="00374577" w:rsidRDefault="00374577" w:rsidP="00374577">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74577">
        <w:rPr>
          <w:rFonts w:ascii="Arial" w:hAnsi="Arial" w:cs="Arial"/>
          <w:color w:val="010000"/>
          <w:sz w:val="20"/>
        </w:rPr>
        <w:t>Business plan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
        <w:gridCol w:w="3957"/>
        <w:gridCol w:w="1066"/>
        <w:gridCol w:w="3060"/>
      </w:tblGrid>
      <w:tr w:rsidR="0053375D" w:rsidRPr="00374577" w:rsidTr="00374577">
        <w:tc>
          <w:tcPr>
            <w:tcW w:w="51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 xml:space="preserve">No. </w:t>
            </w:r>
          </w:p>
        </w:tc>
        <w:tc>
          <w:tcPr>
            <w:tcW w:w="2194"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Targets</w:t>
            </w:r>
          </w:p>
        </w:tc>
        <w:tc>
          <w:tcPr>
            <w:tcW w:w="591"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Unit</w:t>
            </w:r>
          </w:p>
        </w:tc>
        <w:tc>
          <w:tcPr>
            <w:tcW w:w="169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Plan 2024</w:t>
            </w:r>
          </w:p>
        </w:tc>
      </w:tr>
      <w:tr w:rsidR="0053375D" w:rsidRPr="00374577" w:rsidTr="00374577">
        <w:tc>
          <w:tcPr>
            <w:tcW w:w="51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1</w:t>
            </w:r>
          </w:p>
        </w:tc>
        <w:tc>
          <w:tcPr>
            <w:tcW w:w="2194"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Total revenue</w:t>
            </w:r>
          </w:p>
        </w:tc>
        <w:tc>
          <w:tcPr>
            <w:tcW w:w="591"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VND</w:t>
            </w:r>
          </w:p>
        </w:tc>
        <w:tc>
          <w:tcPr>
            <w:tcW w:w="169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6,800,000,000</w:t>
            </w:r>
          </w:p>
        </w:tc>
      </w:tr>
      <w:tr w:rsidR="0053375D" w:rsidRPr="00374577" w:rsidTr="00374577">
        <w:tc>
          <w:tcPr>
            <w:tcW w:w="51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2</w:t>
            </w:r>
          </w:p>
        </w:tc>
        <w:tc>
          <w:tcPr>
            <w:tcW w:w="2194"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Profit before tax</w:t>
            </w:r>
          </w:p>
        </w:tc>
        <w:tc>
          <w:tcPr>
            <w:tcW w:w="591"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VND</w:t>
            </w:r>
          </w:p>
        </w:tc>
        <w:tc>
          <w:tcPr>
            <w:tcW w:w="169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(700,000,000)</w:t>
            </w:r>
          </w:p>
        </w:tc>
      </w:tr>
      <w:tr w:rsidR="0053375D" w:rsidRPr="00374577" w:rsidTr="00374577">
        <w:tc>
          <w:tcPr>
            <w:tcW w:w="518"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3</w:t>
            </w:r>
          </w:p>
        </w:tc>
        <w:tc>
          <w:tcPr>
            <w:tcW w:w="2194"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Profit after tax</w:t>
            </w:r>
          </w:p>
        </w:tc>
        <w:tc>
          <w:tcPr>
            <w:tcW w:w="591"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VND</w:t>
            </w:r>
          </w:p>
        </w:tc>
        <w:tc>
          <w:tcPr>
            <w:tcW w:w="1697" w:type="pct"/>
            <w:shd w:val="clear" w:color="auto" w:fill="auto"/>
            <w:tcMar>
              <w:top w:w="0" w:type="dxa"/>
              <w:bottom w:w="0" w:type="dxa"/>
            </w:tcMar>
            <w:vAlign w:val="center"/>
          </w:tcPr>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(700,000,000)</w:t>
            </w:r>
          </w:p>
        </w:tc>
      </w:tr>
    </w:tbl>
    <w:p w:rsidR="0053375D" w:rsidRPr="00374577" w:rsidRDefault="00374577" w:rsidP="00374577">
      <w:pPr>
        <w:numPr>
          <w:ilvl w:val="0"/>
          <w:numId w:val="1"/>
        </w:numPr>
        <w:pBdr>
          <w:top w:val="nil"/>
          <w:left w:val="nil"/>
          <w:bottom w:val="nil"/>
          <w:right w:val="nil"/>
          <w:between w:val="nil"/>
        </w:pBdr>
        <w:tabs>
          <w:tab w:val="left" w:pos="432"/>
          <w:tab w:val="left" w:pos="982"/>
        </w:tabs>
        <w:spacing w:after="120" w:line="360" w:lineRule="auto"/>
        <w:ind w:left="0" w:firstLine="0"/>
        <w:rPr>
          <w:rFonts w:ascii="Arial" w:eastAsia="Arial" w:hAnsi="Arial" w:cs="Arial"/>
          <w:color w:val="010000"/>
          <w:sz w:val="20"/>
          <w:szCs w:val="20"/>
        </w:rPr>
      </w:pPr>
      <w:r w:rsidRPr="00374577">
        <w:rPr>
          <w:rFonts w:ascii="Arial" w:hAnsi="Arial" w:cs="Arial"/>
          <w:color w:val="010000"/>
          <w:sz w:val="20"/>
        </w:rPr>
        <w:t>Approving the Report of the Supervisory Board.</w:t>
      </w:r>
    </w:p>
    <w:p w:rsidR="0053375D" w:rsidRPr="00374577" w:rsidRDefault="00374577" w:rsidP="00374577">
      <w:pPr>
        <w:numPr>
          <w:ilvl w:val="0"/>
          <w:numId w:val="1"/>
        </w:numPr>
        <w:pBdr>
          <w:top w:val="nil"/>
          <w:left w:val="nil"/>
          <w:bottom w:val="nil"/>
          <w:right w:val="nil"/>
          <w:between w:val="nil"/>
        </w:pBdr>
        <w:tabs>
          <w:tab w:val="left" w:pos="432"/>
          <w:tab w:val="left" w:pos="982"/>
        </w:tabs>
        <w:spacing w:after="120" w:line="360" w:lineRule="auto"/>
        <w:ind w:left="0" w:firstLine="0"/>
        <w:rPr>
          <w:rFonts w:ascii="Arial" w:eastAsia="Arial" w:hAnsi="Arial" w:cs="Arial"/>
          <w:color w:val="010000"/>
          <w:sz w:val="20"/>
          <w:szCs w:val="20"/>
        </w:rPr>
      </w:pPr>
      <w:r w:rsidRPr="00374577">
        <w:rPr>
          <w:rFonts w:ascii="Arial" w:hAnsi="Arial" w:cs="Arial"/>
          <w:color w:val="010000"/>
          <w:sz w:val="20"/>
        </w:rPr>
        <w:t>Approve the Audited Financial Statements 2023.</w:t>
      </w:r>
    </w:p>
    <w:p w:rsidR="0053375D" w:rsidRPr="00374577" w:rsidRDefault="00374577" w:rsidP="00374577">
      <w:pPr>
        <w:numPr>
          <w:ilvl w:val="0"/>
          <w:numId w:val="1"/>
        </w:numPr>
        <w:pBdr>
          <w:top w:val="nil"/>
          <w:left w:val="nil"/>
          <w:bottom w:val="nil"/>
          <w:right w:val="nil"/>
          <w:between w:val="nil"/>
        </w:pBdr>
        <w:tabs>
          <w:tab w:val="left" w:pos="432"/>
          <w:tab w:val="left" w:pos="982"/>
        </w:tabs>
        <w:spacing w:after="120" w:line="360" w:lineRule="auto"/>
        <w:ind w:left="0" w:firstLine="0"/>
        <w:rPr>
          <w:rFonts w:ascii="Arial" w:eastAsia="Arial" w:hAnsi="Arial" w:cs="Arial"/>
          <w:color w:val="010000"/>
          <w:sz w:val="20"/>
          <w:szCs w:val="20"/>
        </w:rPr>
      </w:pPr>
      <w:r w:rsidRPr="00374577">
        <w:rPr>
          <w:rFonts w:ascii="Arial" w:hAnsi="Arial" w:cs="Arial"/>
          <w:color w:val="010000"/>
          <w:sz w:val="20"/>
        </w:rPr>
        <w:t>Approve the selection of audit company for the Financial Statements 2024.</w:t>
      </w:r>
    </w:p>
    <w:p w:rsidR="0053375D" w:rsidRPr="00374577" w:rsidRDefault="00374577" w:rsidP="00374577">
      <w:pPr>
        <w:numPr>
          <w:ilvl w:val="0"/>
          <w:numId w:val="1"/>
        </w:numPr>
        <w:pBdr>
          <w:top w:val="nil"/>
          <w:left w:val="nil"/>
          <w:bottom w:val="nil"/>
          <w:right w:val="nil"/>
          <w:between w:val="nil"/>
        </w:pBdr>
        <w:tabs>
          <w:tab w:val="left" w:pos="432"/>
          <w:tab w:val="left" w:pos="982"/>
        </w:tabs>
        <w:spacing w:after="120" w:line="360" w:lineRule="auto"/>
        <w:ind w:left="0" w:firstLine="0"/>
        <w:rPr>
          <w:rFonts w:ascii="Arial" w:eastAsia="Arial" w:hAnsi="Arial" w:cs="Arial"/>
          <w:color w:val="010000"/>
          <w:sz w:val="20"/>
          <w:szCs w:val="20"/>
        </w:rPr>
      </w:pPr>
      <w:r w:rsidRPr="00374577">
        <w:rPr>
          <w:rFonts w:ascii="Arial" w:hAnsi="Arial" w:cs="Arial"/>
          <w:color w:val="010000"/>
          <w:sz w:val="20"/>
        </w:rPr>
        <w:t>Approve on authorizing the Board of Directors to decide some issues under the authority of the General Meeting of Shareholders.</w:t>
      </w:r>
    </w:p>
    <w:p w:rsidR="0053375D" w:rsidRPr="00374577" w:rsidRDefault="00374577" w:rsidP="00374577">
      <w:pPr>
        <w:numPr>
          <w:ilvl w:val="0"/>
          <w:numId w:val="2"/>
        </w:numPr>
        <w:pBdr>
          <w:top w:val="nil"/>
          <w:left w:val="nil"/>
          <w:bottom w:val="nil"/>
          <w:right w:val="nil"/>
          <w:between w:val="nil"/>
        </w:pBdr>
        <w:tabs>
          <w:tab w:val="left" w:pos="432"/>
          <w:tab w:val="left" w:pos="1168"/>
        </w:tabs>
        <w:spacing w:after="120" w:line="360" w:lineRule="auto"/>
        <w:rPr>
          <w:rFonts w:ascii="Arial" w:eastAsia="Arial" w:hAnsi="Arial" w:cs="Arial"/>
          <w:color w:val="010000"/>
          <w:sz w:val="20"/>
          <w:szCs w:val="20"/>
        </w:rPr>
      </w:pPr>
      <w:r w:rsidRPr="00374577">
        <w:rPr>
          <w:rFonts w:ascii="Arial" w:hAnsi="Arial" w:cs="Arial"/>
          <w:color w:val="010000"/>
          <w:sz w:val="20"/>
        </w:rPr>
        <w:lastRenderedPageBreak/>
        <w:t>Approve contracts and transactions between the company and the following affiliated persons: shareholders, authorized representatives of shareholders who are organizations owning more than 10% of the total common shares of the company and their affiliated persons; Members of the Board of Directors, the Manager, the General Manager and their affiliated persons; Enterprises whose members of the Board of Directors, Supervisors, the Manager or the General Manager and other managers of the company must declare according to the provisions of Clause 2, Article 164 of the Law on Enterprises.</w:t>
      </w:r>
    </w:p>
    <w:p w:rsidR="0053375D" w:rsidRPr="00374577" w:rsidRDefault="00374577" w:rsidP="00374577">
      <w:pPr>
        <w:numPr>
          <w:ilvl w:val="0"/>
          <w:numId w:val="2"/>
        </w:numPr>
        <w:pBdr>
          <w:top w:val="nil"/>
          <w:left w:val="nil"/>
          <w:bottom w:val="nil"/>
          <w:right w:val="nil"/>
          <w:between w:val="nil"/>
        </w:pBdr>
        <w:tabs>
          <w:tab w:val="left" w:pos="432"/>
          <w:tab w:val="left" w:pos="1247"/>
        </w:tabs>
        <w:spacing w:after="120" w:line="360" w:lineRule="auto"/>
        <w:rPr>
          <w:rFonts w:ascii="Arial" w:eastAsia="Arial" w:hAnsi="Arial" w:cs="Arial"/>
          <w:color w:val="010000"/>
          <w:sz w:val="20"/>
          <w:szCs w:val="20"/>
        </w:rPr>
      </w:pPr>
      <w:r w:rsidRPr="00374577">
        <w:rPr>
          <w:rFonts w:ascii="Arial" w:hAnsi="Arial" w:cs="Arial"/>
          <w:color w:val="010000"/>
          <w:sz w:val="20"/>
        </w:rPr>
        <w:t>Allow to borrow, issue bonds, and mobilize legal capital sources to serve the Company's business activities.</w:t>
      </w:r>
    </w:p>
    <w:p w:rsidR="0053375D" w:rsidRPr="00374577" w:rsidRDefault="00374577" w:rsidP="00374577">
      <w:pPr>
        <w:numPr>
          <w:ilvl w:val="0"/>
          <w:numId w:val="2"/>
        </w:numPr>
        <w:pBdr>
          <w:top w:val="nil"/>
          <w:left w:val="nil"/>
          <w:bottom w:val="nil"/>
          <w:right w:val="nil"/>
          <w:between w:val="nil"/>
        </w:pBdr>
        <w:tabs>
          <w:tab w:val="left" w:pos="432"/>
          <w:tab w:val="left" w:pos="1247"/>
        </w:tabs>
        <w:spacing w:after="120" w:line="360" w:lineRule="auto"/>
        <w:rPr>
          <w:rFonts w:ascii="Arial" w:eastAsia="Arial" w:hAnsi="Arial" w:cs="Arial"/>
          <w:color w:val="010000"/>
          <w:sz w:val="20"/>
          <w:szCs w:val="20"/>
        </w:rPr>
      </w:pPr>
      <w:r w:rsidRPr="00374577">
        <w:rPr>
          <w:rFonts w:ascii="Arial" w:hAnsi="Arial" w:cs="Arial"/>
          <w:color w:val="010000"/>
          <w:sz w:val="20"/>
        </w:rPr>
        <w:t>Decide on the establishment, dissolution, share purchase and sale plans, divestment, and restructuring of operations of subsidiaries and joint ventures.</w:t>
      </w:r>
    </w:p>
    <w:p w:rsidR="0053375D" w:rsidRPr="00374577" w:rsidRDefault="00374577" w:rsidP="00374577">
      <w:pPr>
        <w:numPr>
          <w:ilvl w:val="0"/>
          <w:numId w:val="2"/>
        </w:numPr>
        <w:pBdr>
          <w:top w:val="nil"/>
          <w:left w:val="nil"/>
          <w:bottom w:val="nil"/>
          <w:right w:val="nil"/>
          <w:between w:val="nil"/>
        </w:pBdr>
        <w:tabs>
          <w:tab w:val="left" w:pos="432"/>
          <w:tab w:val="left" w:pos="1250"/>
        </w:tabs>
        <w:spacing w:after="120" w:line="360" w:lineRule="auto"/>
        <w:rPr>
          <w:rFonts w:ascii="Arial" w:eastAsia="Arial" w:hAnsi="Arial" w:cs="Arial"/>
          <w:color w:val="010000"/>
          <w:sz w:val="20"/>
          <w:szCs w:val="20"/>
        </w:rPr>
      </w:pPr>
      <w:r w:rsidRPr="00374577">
        <w:rPr>
          <w:rFonts w:ascii="Arial" w:hAnsi="Arial" w:cs="Arial"/>
          <w:color w:val="010000"/>
          <w:sz w:val="20"/>
        </w:rPr>
        <w:t>Decide on the purchase of the Headquarters of the Company, the change of headquarters address, and the establishment/dissolution of transaction offices, representative offices, and branches to suit the business situation of the company.</w:t>
      </w:r>
    </w:p>
    <w:p w:rsidR="0053375D" w:rsidRPr="00374577" w:rsidRDefault="00374577" w:rsidP="00374577">
      <w:pPr>
        <w:numPr>
          <w:ilvl w:val="0"/>
          <w:numId w:val="2"/>
        </w:numPr>
        <w:pBdr>
          <w:top w:val="nil"/>
          <w:left w:val="nil"/>
          <w:bottom w:val="nil"/>
          <w:right w:val="nil"/>
          <w:between w:val="nil"/>
        </w:pBdr>
        <w:tabs>
          <w:tab w:val="left" w:pos="432"/>
          <w:tab w:val="left" w:pos="1247"/>
        </w:tabs>
        <w:spacing w:after="120" w:line="360" w:lineRule="auto"/>
        <w:rPr>
          <w:rFonts w:ascii="Arial" w:eastAsia="Arial" w:hAnsi="Arial" w:cs="Arial"/>
          <w:color w:val="010000"/>
          <w:sz w:val="20"/>
          <w:szCs w:val="20"/>
        </w:rPr>
      </w:pPr>
      <w:r w:rsidRPr="00374577">
        <w:rPr>
          <w:rFonts w:ascii="Arial" w:hAnsi="Arial" w:cs="Arial"/>
          <w:color w:val="010000"/>
          <w:sz w:val="20"/>
        </w:rPr>
        <w:t>Changes business registration when there is a change in headquarters address or legal representative.</w:t>
      </w:r>
    </w:p>
    <w:p w:rsidR="0053375D" w:rsidRPr="00374577" w:rsidRDefault="00374577" w:rsidP="0037457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‎‎Article 2.</w:t>
      </w:r>
    </w:p>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This General Mandate was approved at the General Meeting of Shareholders 2024 and takes effect from the date of its approval.</w:t>
      </w:r>
    </w:p>
    <w:p w:rsidR="0053375D" w:rsidRPr="00374577" w:rsidRDefault="00374577" w:rsidP="0037457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4577">
        <w:rPr>
          <w:rFonts w:ascii="Arial" w:hAnsi="Arial" w:cs="Arial"/>
          <w:color w:val="010000"/>
          <w:sz w:val="20"/>
        </w:rPr>
        <w:t>Shareholders, members of the Board of Directors, the Supervisory Board, the Executive Board, affiliated units and individuals are responsible for implementing this General Mandate according to their authority.</w:t>
      </w:r>
    </w:p>
    <w:sectPr w:rsidR="0053375D" w:rsidRPr="00374577" w:rsidSect="0037457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24821"/>
    <w:multiLevelType w:val="multilevel"/>
    <w:tmpl w:val="1AAC7A32"/>
    <w:lvl w:ilvl="0">
      <w:start w:val="2"/>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Zero"/>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00E197C"/>
    <w:multiLevelType w:val="multilevel"/>
    <w:tmpl w:val="ACF240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4873950"/>
    <w:multiLevelType w:val="multilevel"/>
    <w:tmpl w:val="BE9259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5D"/>
    <w:rsid w:val="0021053F"/>
    <w:rsid w:val="00374577"/>
    <w:rsid w:val="0053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4984A-148D-45A1-8AB7-7BDC847C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Heading21">
    <w:name w:val="Heading #2"/>
    <w:basedOn w:val="Normal"/>
    <w:link w:val="Heading20"/>
    <w:pPr>
      <w:spacing w:line="271" w:lineRule="auto"/>
      <w:jc w:val="cente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54" w:lineRule="auto"/>
    </w:pPr>
    <w:rPr>
      <w:rFonts w:ascii="Times New Roman" w:eastAsia="Times New Roman" w:hAnsi="Times New Roman" w:cs="Times New Roman"/>
      <w:sz w:val="16"/>
      <w:szCs w:val="1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character" w:customStyle="1" w:styleId="Tablecaption">
    <w:name w:val="Table caption_"/>
    <w:basedOn w:val="DefaultParagraphFont"/>
    <w:link w:val="Tablecaption0"/>
    <w:rsid w:val="00F92511"/>
    <w:rPr>
      <w:rFonts w:ascii="Times New Roman" w:eastAsia="Times New Roman" w:hAnsi="Times New Roman" w:cs="Times New Roman"/>
      <w:i/>
      <w:iCs/>
      <w:sz w:val="20"/>
      <w:szCs w:val="20"/>
    </w:rPr>
  </w:style>
  <w:style w:type="character" w:customStyle="1" w:styleId="Other">
    <w:name w:val="Other_"/>
    <w:basedOn w:val="DefaultParagraphFont"/>
    <w:link w:val="Other0"/>
    <w:rsid w:val="00F92511"/>
    <w:rPr>
      <w:rFonts w:ascii="Times New Roman" w:eastAsia="Times New Roman" w:hAnsi="Times New Roman" w:cs="Times New Roman"/>
      <w:sz w:val="22"/>
      <w:szCs w:val="22"/>
    </w:rPr>
  </w:style>
  <w:style w:type="paragraph" w:customStyle="1" w:styleId="Tablecaption0">
    <w:name w:val="Table caption"/>
    <w:basedOn w:val="Normal"/>
    <w:link w:val="Tablecaption"/>
    <w:rsid w:val="00F92511"/>
    <w:rPr>
      <w:rFonts w:ascii="Times New Roman" w:eastAsia="Times New Roman" w:hAnsi="Times New Roman" w:cs="Times New Roman"/>
      <w:i/>
      <w:iCs/>
      <w:color w:val="auto"/>
      <w:sz w:val="20"/>
      <w:szCs w:val="20"/>
    </w:rPr>
  </w:style>
  <w:style w:type="paragraph" w:customStyle="1" w:styleId="Other0">
    <w:name w:val="Other"/>
    <w:basedOn w:val="Normal"/>
    <w:link w:val="Other"/>
    <w:rsid w:val="00F92511"/>
    <w:pPr>
      <w:spacing w:line="317" w:lineRule="auto"/>
    </w:pPr>
    <w:rPr>
      <w:rFonts w:ascii="Times New Roman" w:eastAsia="Times New Roman" w:hAnsi="Times New Roman" w:cs="Times New Roman"/>
      <w:color w:val="auto"/>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eyvUHeX/bKXIvACJhSfyLbu0g==">CgMxLjA4AHIhMWx6bDY5QU9xY3FQNjF5SVBsSFl6MGNWbEl4QmMtcUdN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2024-07-19T04:14:00Z</dcterms:created>
  <dcterms:modified xsi:type="dcterms:W3CDTF">2024-07-19T04:14:00Z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fb6841ffa0f870c3b611cca6ad73288297a1395e306ffb84136a6340259e6423</vt:lpwstr>
  </property>
</Properties>
</file>