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CE" w:rsidRPr="005D66B4" w:rsidRDefault="00FD68E2" w:rsidP="005D66B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5D66B4">
        <w:rPr>
          <w:rFonts w:ascii="Arial" w:hAnsi="Arial" w:cs="Arial"/>
          <w:b/>
          <w:color w:val="auto"/>
          <w:sz w:val="20"/>
        </w:rPr>
        <w:t>MVN</w:t>
      </w:r>
      <w:r w:rsidR="00AF33E8" w:rsidRPr="005D66B4">
        <w:rPr>
          <w:rFonts w:ascii="Arial" w:hAnsi="Arial" w:cs="Arial"/>
          <w:b/>
          <w:color w:val="auto"/>
          <w:sz w:val="20"/>
        </w:rPr>
        <w:t>:</w:t>
      </w:r>
      <w:r w:rsidRPr="005D66B4">
        <w:rPr>
          <w:rFonts w:ascii="Arial" w:hAnsi="Arial" w:cs="Arial"/>
          <w:b/>
          <w:color w:val="auto"/>
          <w:sz w:val="20"/>
        </w:rPr>
        <w:t xml:space="preserve"> Board Resolution</w:t>
      </w:r>
    </w:p>
    <w:p w:rsidR="00156BCE" w:rsidRPr="005D66B4" w:rsidRDefault="00FD68E2" w:rsidP="005D66B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 xml:space="preserve">On July 16, 2024, Vietnam Maritime Corp. announced Resolution No. 372 /NQ-HHVN on dividend payment in 2023 as follows: </w:t>
      </w:r>
    </w:p>
    <w:p w:rsidR="00156BCE" w:rsidRPr="005D66B4" w:rsidRDefault="00FD68E2" w:rsidP="005D66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‎‎Article 1. Approve the implementation of dividend payment in cash of Vietnam Maritime Corp. in 2023 as follows:</w:t>
      </w:r>
    </w:p>
    <w:p w:rsidR="00156BCE" w:rsidRPr="005D66B4" w:rsidRDefault="00FD68E2" w:rsidP="005D66B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Dividends payment rate: 0.39% (taking into account odd values ​​to ensure full distribution of monetary profits).</w:t>
      </w:r>
    </w:p>
    <w:p w:rsidR="00156BCE" w:rsidRPr="005D66B4" w:rsidRDefault="00FD68E2" w:rsidP="005D66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 xml:space="preserve">The value of </w:t>
      </w:r>
      <w:r w:rsidR="001775FC" w:rsidRPr="005D66B4">
        <w:rPr>
          <w:rFonts w:ascii="Arial" w:hAnsi="Arial" w:cs="Arial"/>
          <w:color w:val="auto"/>
          <w:sz w:val="20"/>
        </w:rPr>
        <w:t>dividend</w:t>
      </w:r>
      <w:r w:rsidRPr="005D66B4">
        <w:rPr>
          <w:rFonts w:ascii="Arial" w:hAnsi="Arial" w:cs="Arial"/>
          <w:color w:val="auto"/>
          <w:sz w:val="20"/>
        </w:rPr>
        <w:t xml:space="preserve"> payment is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1"/>
        <w:gridCol w:w="2404"/>
        <w:gridCol w:w="2072"/>
        <w:gridCol w:w="1677"/>
        <w:gridCol w:w="2103"/>
      </w:tblGrid>
      <w:tr w:rsidR="00156BCE" w:rsidRPr="005D66B4" w:rsidTr="005D66B4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No.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Shareholder</w:t>
            </w:r>
          </w:p>
        </w:tc>
        <w:tc>
          <w:tcPr>
            <w:tcW w:w="11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Number of shares owned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Ownership rate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Value received</w:t>
            </w:r>
          </w:p>
        </w:tc>
      </w:tr>
      <w:tr w:rsidR="00156BCE" w:rsidRPr="005D66B4" w:rsidTr="005D66B4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State shareholder</w:t>
            </w:r>
          </w:p>
        </w:tc>
        <w:tc>
          <w:tcPr>
            <w:tcW w:w="11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1,194,213,300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99.469%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46,080,592,232</w:t>
            </w:r>
          </w:p>
        </w:tc>
      </w:tr>
      <w:tr w:rsidR="00156BCE" w:rsidRPr="005D66B4" w:rsidTr="005D66B4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Other shareholders</w:t>
            </w:r>
          </w:p>
        </w:tc>
        <w:tc>
          <w:tcPr>
            <w:tcW w:w="11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6,374,700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0.531%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245,977,792</w:t>
            </w:r>
          </w:p>
        </w:tc>
      </w:tr>
      <w:tr w:rsidR="00156BCE" w:rsidRPr="005D66B4" w:rsidTr="005D66B4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156BCE" w:rsidP="005D66B4">
            <w:pP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Total</w:t>
            </w:r>
          </w:p>
        </w:tc>
        <w:tc>
          <w:tcPr>
            <w:tcW w:w="11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1,200,588,000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156BCE" w:rsidP="005D66B4">
            <w:pP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6BCE" w:rsidRPr="005D66B4" w:rsidRDefault="00FD68E2" w:rsidP="005D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D66B4">
              <w:rPr>
                <w:rFonts w:ascii="Arial" w:hAnsi="Arial" w:cs="Arial"/>
                <w:color w:val="auto"/>
                <w:sz w:val="20"/>
              </w:rPr>
              <w:t>46,326,570,024</w:t>
            </w:r>
          </w:p>
        </w:tc>
      </w:tr>
    </w:tbl>
    <w:p w:rsidR="00156BCE" w:rsidRPr="005D66B4" w:rsidRDefault="00FD68E2" w:rsidP="005D66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- Execution time:</w:t>
      </w:r>
    </w:p>
    <w:p w:rsidR="00156BCE" w:rsidRPr="005D66B4" w:rsidRDefault="00FD68E2" w:rsidP="005D6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September 30, 2024:</w:t>
      </w:r>
      <w:r w:rsidR="001775FC" w:rsidRPr="005D66B4">
        <w:rPr>
          <w:rFonts w:ascii="Arial" w:hAnsi="Arial" w:cs="Arial"/>
          <w:color w:val="auto"/>
          <w:sz w:val="20"/>
        </w:rPr>
        <w:t xml:space="preserve"> The r</w:t>
      </w:r>
      <w:r w:rsidRPr="005D66B4">
        <w:rPr>
          <w:rFonts w:ascii="Arial" w:hAnsi="Arial" w:cs="Arial"/>
          <w:color w:val="auto"/>
          <w:sz w:val="20"/>
        </w:rPr>
        <w:t>ecord date to exercise the rights to receive dividends in 2023 in cash.</w:t>
      </w:r>
    </w:p>
    <w:p w:rsidR="00156BCE" w:rsidRPr="005D66B4" w:rsidRDefault="00FD68E2" w:rsidP="005D6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July 10, 2024: Vietnam Securities Depository and Clearing Corporation receives the full payment amount to the owners of deposited securities;</w:t>
      </w:r>
    </w:p>
    <w:p w:rsidR="00156BCE" w:rsidRPr="005D66B4" w:rsidRDefault="00FD68E2" w:rsidP="005D6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October 10, 2024: The date to pay dividend to shareholders.</w:t>
      </w:r>
    </w:p>
    <w:p w:rsidR="00156BCE" w:rsidRPr="005D66B4" w:rsidRDefault="00FD68E2" w:rsidP="005D66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D66B4">
        <w:rPr>
          <w:rFonts w:ascii="Arial" w:hAnsi="Arial" w:cs="Arial"/>
          <w:color w:val="auto"/>
          <w:sz w:val="20"/>
        </w:rPr>
        <w:t>‎‎Article 2. Assign the General Manager of the Corporation to organize and implement the Resolution in accordance with current relevant regulations./.</w:t>
      </w:r>
    </w:p>
    <w:sectPr w:rsidR="00156BCE" w:rsidRPr="005D66B4" w:rsidSect="005D66B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1272"/>
    <w:multiLevelType w:val="hybridMultilevel"/>
    <w:tmpl w:val="91D6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A24"/>
    <w:multiLevelType w:val="hybridMultilevel"/>
    <w:tmpl w:val="87EAA5A8"/>
    <w:lvl w:ilvl="0" w:tplc="D4B4A85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  <w:b w:val="0"/>
        <w:i w:val="0"/>
        <w:sz w:val="20"/>
      </w:rPr>
    </w:lvl>
    <w:lvl w:ilvl="1" w:tplc="34B8D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FBC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C668D"/>
    <w:multiLevelType w:val="multilevel"/>
    <w:tmpl w:val="B7329DFE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E"/>
    <w:rsid w:val="00156BCE"/>
    <w:rsid w:val="001775FC"/>
    <w:rsid w:val="0045503F"/>
    <w:rsid w:val="005D66B4"/>
    <w:rsid w:val="00AF1BEF"/>
    <w:rsid w:val="00AF33E8"/>
    <w:rsid w:val="00AF7D72"/>
    <w:rsid w:val="00B61C53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1FAAD-E8BF-4D11-BA6B-89C4BD9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09519C"/>
      <w:sz w:val="56"/>
      <w:szCs w:val="5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F888D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A112B"/>
      <w:sz w:val="22"/>
      <w:szCs w:val="22"/>
      <w:u w:val="singl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b/>
      <w:bCs/>
      <w:color w:val="09519C"/>
      <w:sz w:val="56"/>
      <w:szCs w:val="56"/>
    </w:rPr>
  </w:style>
  <w:style w:type="paragraph" w:customStyle="1" w:styleId="Bodytext40">
    <w:name w:val="Body text (4)"/>
    <w:basedOn w:val="Normal"/>
    <w:link w:val="Bodytext4"/>
    <w:pPr>
      <w:ind w:firstLine="860"/>
    </w:pPr>
    <w:rPr>
      <w:rFonts w:ascii="Arial" w:eastAsia="Arial" w:hAnsi="Arial" w:cs="Arial"/>
      <w:color w:val="7F888D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pPr>
      <w:ind w:left="18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ind w:firstLine="460"/>
    </w:pPr>
    <w:rPr>
      <w:rFonts w:ascii="Arial" w:eastAsia="Arial" w:hAnsi="Arial" w:cs="Arial"/>
      <w:color w:val="EA112B"/>
      <w:sz w:val="22"/>
      <w:szCs w:val="2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5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mPoasxlAPBquuDMnQeV2xK0Ftw==">CgMxLjA4AHIhMU43SDB5TlYwaVlxQ1YyMHJHMnQ5Z3pWc1FSSUZ2Wm9n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2024-07-19T04:15:00Z</dcterms:created>
  <dcterms:modified xsi:type="dcterms:W3CDTF">2024-07-19T04:15:00Z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7dabb08baa4e99263e1829d4f1c191df2f52f703d8d73074bdca3f8d4194305b</vt:lpwstr>
  </property>
</Properties>
</file>