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70FF0B8" w:rsidR="00841FAC" w:rsidRPr="00775627" w:rsidRDefault="00775627" w:rsidP="00006F0D">
      <w:pPr>
        <w:pBdr>
          <w:top w:val="nil"/>
          <w:left w:val="nil"/>
          <w:bottom w:val="nil"/>
          <w:right w:val="nil"/>
          <w:between w:val="nil"/>
        </w:pBdr>
        <w:tabs>
          <w:tab w:val="left" w:pos="450"/>
          <w:tab w:val="left" w:pos="630"/>
        </w:tabs>
        <w:spacing w:after="120" w:line="360" w:lineRule="auto"/>
        <w:jc w:val="both"/>
        <w:rPr>
          <w:rFonts w:ascii="Arial" w:eastAsia="Arial" w:hAnsi="Arial" w:cs="Arial"/>
          <w:b/>
          <w:color w:val="010000"/>
          <w:sz w:val="20"/>
          <w:szCs w:val="20"/>
        </w:rPr>
      </w:pPr>
      <w:r w:rsidRPr="00775627">
        <w:rPr>
          <w:rFonts w:ascii="Arial" w:hAnsi="Arial" w:cs="Arial"/>
          <w:b/>
          <w:color w:val="010000"/>
          <w:sz w:val="20"/>
        </w:rPr>
        <w:t>TGG: Board Resolution</w:t>
      </w:r>
    </w:p>
    <w:p w14:paraId="00000002" w14:textId="4B87D3D9" w:rsidR="00841FAC" w:rsidRPr="00775627" w:rsidRDefault="00775627" w:rsidP="00006F0D">
      <w:pPr>
        <w:pBdr>
          <w:top w:val="nil"/>
          <w:left w:val="nil"/>
          <w:bottom w:val="nil"/>
          <w:right w:val="nil"/>
          <w:between w:val="nil"/>
        </w:pBdr>
        <w:tabs>
          <w:tab w:val="left" w:pos="450"/>
          <w:tab w:val="left" w:pos="630"/>
        </w:tabs>
        <w:spacing w:after="120" w:line="360" w:lineRule="auto"/>
        <w:jc w:val="both"/>
        <w:rPr>
          <w:rFonts w:ascii="Arial" w:eastAsia="Arial" w:hAnsi="Arial" w:cs="Arial"/>
          <w:color w:val="010000"/>
          <w:sz w:val="20"/>
          <w:szCs w:val="20"/>
        </w:rPr>
      </w:pPr>
      <w:r w:rsidRPr="00775627">
        <w:rPr>
          <w:rFonts w:ascii="Arial" w:hAnsi="Arial" w:cs="Arial"/>
          <w:color w:val="010000"/>
          <w:sz w:val="20"/>
        </w:rPr>
        <w:t>On July 17, 2024, The Golden Group Joint Stock Company announced Resolution No. 10/2024/TGG/HDQT-NQ as follows:</w:t>
      </w:r>
    </w:p>
    <w:p w14:paraId="00000003" w14:textId="2B89E768" w:rsidR="00841FAC" w:rsidRPr="00775627" w:rsidRDefault="00775627" w:rsidP="00006F0D">
      <w:pPr>
        <w:pBdr>
          <w:top w:val="nil"/>
          <w:left w:val="nil"/>
          <w:bottom w:val="nil"/>
          <w:right w:val="nil"/>
          <w:between w:val="nil"/>
        </w:pBdr>
        <w:tabs>
          <w:tab w:val="left" w:pos="450"/>
          <w:tab w:val="left" w:pos="630"/>
        </w:tabs>
        <w:spacing w:after="120" w:line="360" w:lineRule="auto"/>
        <w:jc w:val="both"/>
        <w:rPr>
          <w:rFonts w:ascii="Arial" w:eastAsia="Arial" w:hAnsi="Arial" w:cs="Arial"/>
          <w:color w:val="010000"/>
          <w:sz w:val="20"/>
          <w:szCs w:val="20"/>
        </w:rPr>
      </w:pPr>
      <w:r w:rsidRPr="00775627">
        <w:rPr>
          <w:rFonts w:ascii="Arial" w:hAnsi="Arial" w:cs="Arial"/>
          <w:color w:val="010000"/>
          <w:sz w:val="20"/>
        </w:rPr>
        <w:t>Article 1: Approve on divesting part of the capital in the subsidiary, HB Pharma Joint Stock Company, to become an affiliated company, specifically as follows:</w:t>
      </w:r>
    </w:p>
    <w:p w14:paraId="00000004" w14:textId="77777777" w:rsidR="00841FAC" w:rsidRPr="00775627" w:rsidRDefault="00775627" w:rsidP="00006F0D">
      <w:pPr>
        <w:pBdr>
          <w:top w:val="nil"/>
          <w:left w:val="nil"/>
          <w:bottom w:val="nil"/>
          <w:right w:val="nil"/>
          <w:between w:val="nil"/>
        </w:pBdr>
        <w:tabs>
          <w:tab w:val="left" w:pos="450"/>
          <w:tab w:val="left" w:pos="630"/>
        </w:tabs>
        <w:spacing w:after="120" w:line="360" w:lineRule="auto"/>
        <w:jc w:val="both"/>
        <w:rPr>
          <w:rFonts w:ascii="Arial" w:eastAsia="Arial" w:hAnsi="Arial" w:cs="Arial"/>
          <w:color w:val="010000"/>
          <w:sz w:val="20"/>
          <w:szCs w:val="20"/>
        </w:rPr>
      </w:pPr>
      <w:r w:rsidRPr="00775627">
        <w:rPr>
          <w:rFonts w:ascii="Arial" w:hAnsi="Arial" w:cs="Arial"/>
          <w:color w:val="010000"/>
          <w:sz w:val="20"/>
        </w:rPr>
        <w:t>Divestment in the Company: HB Pharma Joint Stock Company</w:t>
      </w:r>
      <w:bookmarkStart w:id="0" w:name="_GoBack"/>
      <w:bookmarkEnd w:id="0"/>
    </w:p>
    <w:p w14:paraId="00000005" w14:textId="7C8C1B7E" w:rsidR="00841FAC" w:rsidRPr="00775627" w:rsidRDefault="00775627" w:rsidP="00006F0D">
      <w:pPr>
        <w:numPr>
          <w:ilvl w:val="0"/>
          <w:numId w:val="1"/>
        </w:numPr>
        <w:pBdr>
          <w:top w:val="nil"/>
          <w:left w:val="nil"/>
          <w:bottom w:val="nil"/>
          <w:right w:val="nil"/>
          <w:between w:val="nil"/>
        </w:pBdr>
        <w:tabs>
          <w:tab w:val="left" w:pos="450"/>
          <w:tab w:val="left" w:pos="630"/>
          <w:tab w:val="left" w:pos="826"/>
        </w:tabs>
        <w:spacing w:after="120" w:line="360" w:lineRule="auto"/>
        <w:jc w:val="both"/>
        <w:rPr>
          <w:rFonts w:ascii="Arial" w:eastAsia="Arial" w:hAnsi="Arial" w:cs="Arial"/>
          <w:color w:val="010000"/>
          <w:sz w:val="20"/>
          <w:szCs w:val="20"/>
        </w:rPr>
      </w:pPr>
      <w:r w:rsidRPr="00775627">
        <w:rPr>
          <w:rFonts w:ascii="Arial" w:hAnsi="Arial" w:cs="Arial"/>
          <w:color w:val="010000"/>
          <w:sz w:val="20"/>
        </w:rPr>
        <w:t>Business Registration Certificate No. 0317680386 issued by the Department of Planning and Investment of Ho Chi Minh City on May 24, 2024.</w:t>
      </w:r>
    </w:p>
    <w:p w14:paraId="00000006" w14:textId="77777777" w:rsidR="00841FAC" w:rsidRPr="00775627" w:rsidRDefault="00775627" w:rsidP="00006F0D">
      <w:pPr>
        <w:numPr>
          <w:ilvl w:val="0"/>
          <w:numId w:val="1"/>
        </w:numPr>
        <w:pBdr>
          <w:top w:val="nil"/>
          <w:left w:val="nil"/>
          <w:bottom w:val="nil"/>
          <w:right w:val="nil"/>
          <w:between w:val="nil"/>
        </w:pBdr>
        <w:tabs>
          <w:tab w:val="left" w:pos="450"/>
          <w:tab w:val="left" w:pos="630"/>
          <w:tab w:val="left" w:pos="826"/>
        </w:tabs>
        <w:spacing w:after="120" w:line="360" w:lineRule="auto"/>
        <w:jc w:val="both"/>
        <w:rPr>
          <w:rFonts w:ascii="Arial" w:eastAsia="Arial" w:hAnsi="Arial" w:cs="Arial"/>
          <w:color w:val="010000"/>
          <w:sz w:val="20"/>
          <w:szCs w:val="20"/>
        </w:rPr>
      </w:pPr>
      <w:r w:rsidRPr="00775627">
        <w:rPr>
          <w:rFonts w:ascii="Arial" w:hAnsi="Arial" w:cs="Arial"/>
          <w:color w:val="010000"/>
          <w:sz w:val="20"/>
        </w:rPr>
        <w:t>Headquarters address: 402-404 Tung Thien Vuong Road, Ward 13, District 8, Ho Chi Minh City</w:t>
      </w:r>
    </w:p>
    <w:p w14:paraId="00000007" w14:textId="77777777" w:rsidR="00841FAC" w:rsidRPr="00775627" w:rsidRDefault="00775627" w:rsidP="00006F0D">
      <w:pPr>
        <w:numPr>
          <w:ilvl w:val="0"/>
          <w:numId w:val="1"/>
        </w:numPr>
        <w:pBdr>
          <w:top w:val="nil"/>
          <w:left w:val="nil"/>
          <w:bottom w:val="nil"/>
          <w:right w:val="nil"/>
          <w:between w:val="nil"/>
        </w:pBdr>
        <w:tabs>
          <w:tab w:val="left" w:pos="450"/>
          <w:tab w:val="left" w:pos="630"/>
          <w:tab w:val="left" w:pos="821"/>
        </w:tabs>
        <w:spacing w:after="120" w:line="360" w:lineRule="auto"/>
        <w:jc w:val="both"/>
        <w:rPr>
          <w:rFonts w:ascii="Arial" w:eastAsia="Arial" w:hAnsi="Arial" w:cs="Arial"/>
          <w:color w:val="010000"/>
          <w:sz w:val="20"/>
          <w:szCs w:val="20"/>
        </w:rPr>
      </w:pPr>
      <w:r w:rsidRPr="00775627">
        <w:rPr>
          <w:rFonts w:ascii="Arial" w:hAnsi="Arial" w:cs="Arial"/>
          <w:color w:val="010000"/>
          <w:sz w:val="20"/>
        </w:rPr>
        <w:t>Charter capital: VND10,000,000,000</w:t>
      </w:r>
    </w:p>
    <w:p w14:paraId="00000008" w14:textId="77777777" w:rsidR="00841FAC" w:rsidRPr="00775627" w:rsidRDefault="00775627" w:rsidP="00006F0D">
      <w:pPr>
        <w:numPr>
          <w:ilvl w:val="0"/>
          <w:numId w:val="1"/>
        </w:numPr>
        <w:pBdr>
          <w:top w:val="nil"/>
          <w:left w:val="nil"/>
          <w:bottom w:val="nil"/>
          <w:right w:val="nil"/>
          <w:between w:val="nil"/>
        </w:pBdr>
        <w:tabs>
          <w:tab w:val="left" w:pos="450"/>
          <w:tab w:val="left" w:pos="630"/>
          <w:tab w:val="left" w:pos="822"/>
        </w:tabs>
        <w:spacing w:after="120" w:line="360" w:lineRule="auto"/>
        <w:jc w:val="both"/>
        <w:rPr>
          <w:rFonts w:ascii="Arial" w:eastAsia="Arial" w:hAnsi="Arial" w:cs="Arial"/>
          <w:color w:val="010000"/>
          <w:sz w:val="20"/>
          <w:szCs w:val="20"/>
        </w:rPr>
      </w:pPr>
      <w:r w:rsidRPr="00775627">
        <w:rPr>
          <w:rFonts w:ascii="Arial" w:hAnsi="Arial" w:cs="Arial"/>
          <w:color w:val="010000"/>
          <w:sz w:val="20"/>
        </w:rPr>
        <w:t>In which The Golden Group Joint Stock Company accounts for 75.5% of charter capital equivalent to VND7,550,000,000;</w:t>
      </w:r>
    </w:p>
    <w:p w14:paraId="00000009" w14:textId="5A2933EC" w:rsidR="00841FAC" w:rsidRPr="00775627" w:rsidRDefault="00775627" w:rsidP="00006F0D">
      <w:pPr>
        <w:numPr>
          <w:ilvl w:val="0"/>
          <w:numId w:val="1"/>
        </w:numPr>
        <w:tabs>
          <w:tab w:val="left" w:pos="450"/>
          <w:tab w:val="left" w:pos="630"/>
          <w:tab w:val="left" w:pos="821"/>
          <w:tab w:val="left" w:pos="9868"/>
        </w:tabs>
        <w:spacing w:after="120" w:line="360" w:lineRule="auto"/>
        <w:jc w:val="both"/>
        <w:rPr>
          <w:rFonts w:ascii="Arial" w:eastAsia="Arial" w:hAnsi="Arial" w:cs="Arial"/>
          <w:color w:val="010000"/>
          <w:sz w:val="20"/>
          <w:szCs w:val="20"/>
        </w:rPr>
      </w:pPr>
      <w:r w:rsidRPr="00775627">
        <w:rPr>
          <w:rFonts w:ascii="Arial" w:hAnsi="Arial" w:cs="Arial"/>
          <w:color w:val="010000"/>
          <w:sz w:val="20"/>
        </w:rPr>
        <w:t xml:space="preserve">Expected capital divestment: 51% of charter capital equivalent to VND5,100,000,000 </w:t>
      </w:r>
    </w:p>
    <w:p w14:paraId="0000000A" w14:textId="77777777" w:rsidR="00841FAC" w:rsidRPr="00775627" w:rsidRDefault="00775627" w:rsidP="00006F0D">
      <w:pPr>
        <w:numPr>
          <w:ilvl w:val="0"/>
          <w:numId w:val="1"/>
        </w:numPr>
        <w:tabs>
          <w:tab w:val="left" w:pos="450"/>
          <w:tab w:val="left" w:pos="630"/>
          <w:tab w:val="left" w:pos="821"/>
          <w:tab w:val="left" w:pos="9868"/>
        </w:tabs>
        <w:spacing w:after="120" w:line="360" w:lineRule="auto"/>
        <w:jc w:val="both"/>
        <w:rPr>
          <w:rFonts w:ascii="Arial" w:eastAsia="Arial" w:hAnsi="Arial" w:cs="Arial"/>
          <w:color w:val="010000"/>
          <w:sz w:val="20"/>
          <w:szCs w:val="20"/>
        </w:rPr>
      </w:pPr>
      <w:r w:rsidRPr="00775627">
        <w:rPr>
          <w:rFonts w:ascii="Arial" w:hAnsi="Arial" w:cs="Arial"/>
          <w:color w:val="010000"/>
          <w:sz w:val="20"/>
        </w:rPr>
        <w:t xml:space="preserve">Expected remaining capital after the divestment: 24.5% of charter capital equivalent to VND2,450,000 </w:t>
      </w:r>
    </w:p>
    <w:p w14:paraId="0000000B" w14:textId="77777777" w:rsidR="00841FAC" w:rsidRPr="00775627" w:rsidRDefault="00775627" w:rsidP="00006F0D">
      <w:pPr>
        <w:numPr>
          <w:ilvl w:val="0"/>
          <w:numId w:val="1"/>
        </w:numPr>
        <w:tabs>
          <w:tab w:val="left" w:pos="450"/>
          <w:tab w:val="left" w:pos="630"/>
          <w:tab w:val="left" w:pos="821"/>
          <w:tab w:val="left" w:pos="9567"/>
        </w:tabs>
        <w:spacing w:after="120" w:line="360" w:lineRule="auto"/>
        <w:jc w:val="both"/>
        <w:rPr>
          <w:rFonts w:ascii="Arial" w:eastAsia="Arial" w:hAnsi="Arial" w:cs="Arial"/>
          <w:color w:val="010000"/>
          <w:sz w:val="20"/>
          <w:szCs w:val="20"/>
        </w:rPr>
      </w:pPr>
      <w:r w:rsidRPr="00775627">
        <w:rPr>
          <w:rFonts w:ascii="Arial" w:hAnsi="Arial" w:cs="Arial"/>
          <w:color w:val="010000"/>
          <w:sz w:val="20"/>
        </w:rPr>
        <w:t>Purpose of divestment: To restructure the investment portfolio;</w:t>
      </w:r>
    </w:p>
    <w:p w14:paraId="0000000C" w14:textId="0D644D21" w:rsidR="00841FAC" w:rsidRPr="00775627" w:rsidRDefault="00775627" w:rsidP="00006F0D">
      <w:pPr>
        <w:numPr>
          <w:ilvl w:val="0"/>
          <w:numId w:val="1"/>
        </w:numPr>
        <w:tabs>
          <w:tab w:val="left" w:pos="450"/>
          <w:tab w:val="left" w:pos="630"/>
          <w:tab w:val="left" w:pos="830"/>
        </w:tabs>
        <w:spacing w:after="120" w:line="360" w:lineRule="auto"/>
        <w:jc w:val="both"/>
        <w:rPr>
          <w:rFonts w:ascii="Arial" w:eastAsia="Arial" w:hAnsi="Arial" w:cs="Arial"/>
          <w:color w:val="010000"/>
          <w:sz w:val="20"/>
          <w:szCs w:val="20"/>
        </w:rPr>
      </w:pPr>
      <w:r w:rsidRPr="00775627">
        <w:rPr>
          <w:rFonts w:ascii="Arial" w:hAnsi="Arial" w:cs="Arial"/>
          <w:color w:val="010000"/>
          <w:sz w:val="20"/>
        </w:rPr>
        <w:t>Value of divestment: The Board of Directors authorized the General Manager based on the book value on the Financial Statements and the actual production and business activities of the subsidiary to decide the divestment value;</w:t>
      </w:r>
    </w:p>
    <w:p w14:paraId="0000000D" w14:textId="372B4357" w:rsidR="00841FAC" w:rsidRPr="00775627" w:rsidRDefault="00775627" w:rsidP="00006F0D">
      <w:pPr>
        <w:numPr>
          <w:ilvl w:val="0"/>
          <w:numId w:val="1"/>
        </w:numPr>
        <w:tabs>
          <w:tab w:val="left" w:pos="432"/>
        </w:tabs>
        <w:spacing w:after="120" w:line="360" w:lineRule="auto"/>
        <w:jc w:val="both"/>
        <w:rPr>
          <w:rFonts w:ascii="Arial" w:eastAsia="Arial" w:hAnsi="Arial" w:cs="Arial"/>
          <w:color w:val="010000"/>
          <w:sz w:val="20"/>
          <w:szCs w:val="20"/>
        </w:rPr>
      </w:pPr>
      <w:r w:rsidRPr="00775627">
        <w:rPr>
          <w:rFonts w:ascii="Arial" w:hAnsi="Arial" w:cs="Arial"/>
          <w:color w:val="010000"/>
          <w:sz w:val="20"/>
        </w:rPr>
        <w:t>Transfer subject: partners with financial potential;</w:t>
      </w:r>
    </w:p>
    <w:p w14:paraId="0000000E" w14:textId="77777777" w:rsidR="00841FAC" w:rsidRPr="00775627" w:rsidRDefault="00775627" w:rsidP="00006F0D">
      <w:pPr>
        <w:numPr>
          <w:ilvl w:val="0"/>
          <w:numId w:val="1"/>
        </w:numPr>
        <w:pBdr>
          <w:top w:val="nil"/>
          <w:left w:val="nil"/>
          <w:bottom w:val="nil"/>
          <w:right w:val="nil"/>
          <w:between w:val="nil"/>
        </w:pBdr>
        <w:tabs>
          <w:tab w:val="left" w:pos="450"/>
          <w:tab w:val="left" w:pos="630"/>
          <w:tab w:val="left" w:pos="821"/>
        </w:tabs>
        <w:spacing w:after="120" w:line="360" w:lineRule="auto"/>
        <w:jc w:val="both"/>
        <w:rPr>
          <w:rFonts w:ascii="Arial" w:eastAsia="Arial" w:hAnsi="Arial" w:cs="Arial"/>
          <w:color w:val="010000"/>
          <w:sz w:val="20"/>
          <w:szCs w:val="20"/>
        </w:rPr>
      </w:pPr>
      <w:r w:rsidRPr="00775627">
        <w:rPr>
          <w:rFonts w:ascii="Arial" w:hAnsi="Arial" w:cs="Arial"/>
          <w:color w:val="010000"/>
          <w:sz w:val="20"/>
        </w:rPr>
        <w:t>Implementation time: in 2024;</w:t>
      </w:r>
    </w:p>
    <w:p w14:paraId="0000000F" w14:textId="4D2D8E2D" w:rsidR="00841FAC" w:rsidRPr="00775627" w:rsidRDefault="00775627" w:rsidP="00006F0D">
      <w:pPr>
        <w:pBdr>
          <w:top w:val="nil"/>
          <w:left w:val="nil"/>
          <w:bottom w:val="nil"/>
          <w:right w:val="nil"/>
          <w:between w:val="nil"/>
        </w:pBdr>
        <w:tabs>
          <w:tab w:val="left" w:pos="450"/>
          <w:tab w:val="left" w:pos="630"/>
        </w:tabs>
        <w:spacing w:after="120" w:line="360" w:lineRule="auto"/>
        <w:jc w:val="both"/>
        <w:rPr>
          <w:rFonts w:ascii="Arial" w:eastAsia="Arial" w:hAnsi="Arial" w:cs="Arial"/>
          <w:color w:val="010000"/>
          <w:sz w:val="20"/>
          <w:szCs w:val="20"/>
        </w:rPr>
      </w:pPr>
      <w:r w:rsidRPr="00775627">
        <w:rPr>
          <w:rFonts w:ascii="Arial" w:hAnsi="Arial" w:cs="Arial"/>
          <w:color w:val="010000"/>
          <w:sz w:val="20"/>
        </w:rPr>
        <w:t>Article 2: Approve on authorizing the General Manager to prepare an appropriate divestment plan to implement the contents approved in this Resolution. The General Manager has full authority to choose and search for transfer subjects, and transfer prices and has the right to sign transfer contracts and documents related to the divestment; organize direction to implement relevant procedures in accordance with current provisions of law</w:t>
      </w:r>
    </w:p>
    <w:p w14:paraId="00000010" w14:textId="77777777" w:rsidR="00841FAC" w:rsidRPr="00775627" w:rsidRDefault="00775627" w:rsidP="00006F0D">
      <w:pPr>
        <w:pBdr>
          <w:top w:val="nil"/>
          <w:left w:val="nil"/>
          <w:bottom w:val="nil"/>
          <w:right w:val="nil"/>
          <w:between w:val="nil"/>
        </w:pBdr>
        <w:tabs>
          <w:tab w:val="left" w:pos="450"/>
          <w:tab w:val="left" w:pos="630"/>
        </w:tabs>
        <w:spacing w:after="120" w:line="360" w:lineRule="auto"/>
        <w:jc w:val="both"/>
        <w:rPr>
          <w:rFonts w:ascii="Arial" w:eastAsia="Arial" w:hAnsi="Arial" w:cs="Arial"/>
          <w:color w:val="010000"/>
          <w:sz w:val="20"/>
          <w:szCs w:val="20"/>
        </w:rPr>
      </w:pPr>
      <w:r w:rsidRPr="00775627">
        <w:rPr>
          <w:rFonts w:ascii="Arial" w:hAnsi="Arial" w:cs="Arial"/>
          <w:color w:val="010000"/>
          <w:sz w:val="20"/>
        </w:rPr>
        <w:t>Article 3: Terms of enforcement</w:t>
      </w:r>
    </w:p>
    <w:p w14:paraId="00000011" w14:textId="77777777" w:rsidR="00841FAC" w:rsidRPr="00775627" w:rsidRDefault="00775627" w:rsidP="00006F0D">
      <w:pPr>
        <w:numPr>
          <w:ilvl w:val="0"/>
          <w:numId w:val="1"/>
        </w:numPr>
        <w:pBdr>
          <w:top w:val="nil"/>
          <w:left w:val="nil"/>
          <w:bottom w:val="nil"/>
          <w:right w:val="nil"/>
          <w:between w:val="nil"/>
        </w:pBdr>
        <w:tabs>
          <w:tab w:val="left" w:pos="301"/>
          <w:tab w:val="left" w:pos="450"/>
          <w:tab w:val="left" w:pos="630"/>
        </w:tabs>
        <w:spacing w:after="120" w:line="360" w:lineRule="auto"/>
        <w:jc w:val="both"/>
        <w:rPr>
          <w:rFonts w:ascii="Arial" w:eastAsia="Arial" w:hAnsi="Arial" w:cs="Arial"/>
          <w:color w:val="010000"/>
          <w:sz w:val="20"/>
          <w:szCs w:val="20"/>
        </w:rPr>
      </w:pPr>
      <w:r w:rsidRPr="00775627">
        <w:rPr>
          <w:rFonts w:ascii="Arial" w:hAnsi="Arial" w:cs="Arial"/>
          <w:color w:val="010000"/>
          <w:sz w:val="20"/>
        </w:rPr>
        <w:t>This Resolution takes effect from the date of its signing.</w:t>
      </w:r>
    </w:p>
    <w:p w14:paraId="00000012" w14:textId="77777777" w:rsidR="00841FAC" w:rsidRPr="00775627" w:rsidRDefault="00775627" w:rsidP="00006F0D">
      <w:pPr>
        <w:numPr>
          <w:ilvl w:val="0"/>
          <w:numId w:val="1"/>
        </w:numPr>
        <w:pBdr>
          <w:top w:val="nil"/>
          <w:left w:val="nil"/>
          <w:bottom w:val="nil"/>
          <w:right w:val="nil"/>
          <w:between w:val="nil"/>
        </w:pBdr>
        <w:tabs>
          <w:tab w:val="left" w:pos="301"/>
          <w:tab w:val="left" w:pos="450"/>
          <w:tab w:val="left" w:pos="630"/>
        </w:tabs>
        <w:spacing w:after="120" w:line="360" w:lineRule="auto"/>
        <w:jc w:val="both"/>
        <w:rPr>
          <w:rFonts w:ascii="Arial" w:eastAsia="Arial" w:hAnsi="Arial" w:cs="Arial"/>
          <w:color w:val="010000"/>
          <w:sz w:val="20"/>
          <w:szCs w:val="20"/>
        </w:rPr>
      </w:pPr>
      <w:r w:rsidRPr="00775627">
        <w:rPr>
          <w:rFonts w:ascii="Arial" w:hAnsi="Arial" w:cs="Arial"/>
          <w:color w:val="010000"/>
          <w:sz w:val="20"/>
        </w:rPr>
        <w:t>Members of the Board of Directors, the Supervisory Board, the Board of Management and relevant departments are responsible for implementing this Resolution.</w:t>
      </w:r>
    </w:p>
    <w:sectPr w:rsidR="00841FAC" w:rsidRPr="00775627" w:rsidSect="0077562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2E5C"/>
    <w:multiLevelType w:val="multilevel"/>
    <w:tmpl w:val="5178EDB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AC"/>
    <w:rsid w:val="00006F0D"/>
    <w:rsid w:val="00775627"/>
    <w:rsid w:val="0084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3"/>
      <w:szCs w:val="13"/>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02"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customStyle="1" w:styleId="Bodytext30">
    <w:name w:val="Body text (3)"/>
    <w:basedOn w:val="Normal"/>
    <w:link w:val="Bodytext3"/>
    <w:pPr>
      <w:ind w:firstLine="380"/>
    </w:pPr>
    <w:rPr>
      <w:rFonts w:ascii="Arial" w:eastAsia="Arial" w:hAnsi="Arial" w:cs="Arial"/>
      <w:b/>
      <w:bCs/>
      <w:sz w:val="13"/>
      <w:szCs w:val="13"/>
    </w:rPr>
  </w:style>
  <w:style w:type="paragraph" w:customStyle="1" w:styleId="Tableofcontents0">
    <w:name w:val="Table of contents"/>
    <w:basedOn w:val="Normal"/>
    <w:link w:val="Tableofcontents"/>
    <w:pPr>
      <w:spacing w:line="302" w:lineRule="auto"/>
      <w:ind w:firstLine="56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3"/>
      <w:szCs w:val="13"/>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302" w:lineRule="auto"/>
    </w:pPr>
    <w:rPr>
      <w:rFonts w:ascii="Times New Roman" w:eastAsia="Times New Roman" w:hAnsi="Times New Roman" w:cs="Times New Roman"/>
      <w:sz w:val="22"/>
      <w:szCs w:val="22"/>
    </w:rPr>
  </w:style>
  <w:style w:type="paragraph" w:customStyle="1" w:styleId="Bodytext20">
    <w:name w:val="Body text (2)"/>
    <w:basedOn w:val="Normal"/>
    <w:link w:val="Bodytext2"/>
    <w:rPr>
      <w:rFonts w:ascii="Times New Roman" w:eastAsia="Times New Roman" w:hAnsi="Times New Roman" w:cs="Times New Roman"/>
      <w:i/>
      <w:iCs/>
      <w:sz w:val="20"/>
      <w:szCs w:val="20"/>
    </w:rPr>
  </w:style>
  <w:style w:type="paragraph" w:customStyle="1" w:styleId="Bodytext30">
    <w:name w:val="Body text (3)"/>
    <w:basedOn w:val="Normal"/>
    <w:link w:val="Bodytext3"/>
    <w:pPr>
      <w:ind w:firstLine="380"/>
    </w:pPr>
    <w:rPr>
      <w:rFonts w:ascii="Arial" w:eastAsia="Arial" w:hAnsi="Arial" w:cs="Arial"/>
      <w:b/>
      <w:bCs/>
      <w:sz w:val="13"/>
      <w:szCs w:val="13"/>
    </w:rPr>
  </w:style>
  <w:style w:type="paragraph" w:customStyle="1" w:styleId="Tableofcontents0">
    <w:name w:val="Table of contents"/>
    <w:basedOn w:val="Normal"/>
    <w:link w:val="Tableofcontents"/>
    <w:pPr>
      <w:spacing w:line="302" w:lineRule="auto"/>
      <w:ind w:firstLine="560"/>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Y8fegRa3kIKfh7sr66yDCnPsdg==">CgMxLjA4AHIhMTFsMU5yTDdoY3NrZXVveng1ZnNVRW5vdmNGRG1zZXRE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2024-07-18T03:16:00Z</dcterms:created>
  <dcterms:modified xsi:type="dcterms:W3CDTF">2024-07-19T03:51:00Z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ac29718c9ec79df16cccbe8744a08cc79f1d669ba2576564b7cf7c8b0092394f</vt:lpwstr>
  </property>
</Properties>
</file>