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7AA9" w:rsidRPr="00B25F09" w:rsidRDefault="00B25F09" w:rsidP="000458F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25F09">
        <w:rPr>
          <w:rFonts w:ascii="Arial" w:hAnsi="Arial" w:cs="Arial"/>
          <w:b/>
          <w:color w:val="010000"/>
          <w:sz w:val="20"/>
        </w:rPr>
        <w:t xml:space="preserve">TRS: Notice on the share issuance for dividend payment 2023 </w:t>
      </w:r>
    </w:p>
    <w:p w14:paraId="00000002" w14:textId="6EADF569" w:rsidR="00087AA9" w:rsidRPr="00B25F09" w:rsidRDefault="00B25F09" w:rsidP="000458F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On July 17, 2024, Tracimexco - Supply Chains and Agency Services JSC announced Notice No. 04.2024/TB.TRS on share issuance to pay dividends in 2023 as follows:</w:t>
      </w:r>
    </w:p>
    <w:p w14:paraId="00000003" w14:textId="77777777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Share name: Shares of Tracimexco - Supply Chains and Agency Services JSC</w:t>
      </w:r>
    </w:p>
    <w:p w14:paraId="00000004" w14:textId="2D94427D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Share type: common shares</w:t>
      </w:r>
    </w:p>
    <w:p w14:paraId="00000005" w14:textId="1C6E0207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Total number of issued shares:: 5,455,620 shares.</w:t>
      </w:r>
    </w:p>
    <w:p w14:paraId="00000006" w14:textId="77777777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Total number of outstanding shares: 5,443,520 shares.</w:t>
      </w:r>
    </w:p>
    <w:p w14:paraId="00000007" w14:textId="77777777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50"/>
          <w:tab w:val="left" w:pos="93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Total treasury shares: 12,100 shares.</w:t>
      </w:r>
    </w:p>
    <w:p w14:paraId="00000008" w14:textId="189D2C64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50"/>
          <w:tab w:val="left" w:pos="93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Number of shares expected to be issued</w:t>
      </w:r>
      <w:r w:rsidR="00E51187">
        <w:rPr>
          <w:rFonts w:ascii="Arial" w:hAnsi="Arial" w:cs="Arial"/>
          <w:color w:val="010000"/>
          <w:sz w:val="20"/>
        </w:rPr>
        <w:t>:</w:t>
      </w:r>
      <w:r w:rsidRPr="00B25F09">
        <w:rPr>
          <w:rFonts w:ascii="Arial" w:hAnsi="Arial" w:cs="Arial"/>
          <w:color w:val="010000"/>
          <w:sz w:val="20"/>
        </w:rPr>
        <w:t xml:space="preserve"> 1,088,704 shares.</w:t>
      </w:r>
    </w:p>
    <w:p w14:paraId="00000009" w14:textId="77777777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50"/>
          <w:tab w:val="left" w:pos="93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Total issuance value at par value: VND10,887,040,000.</w:t>
      </w:r>
    </w:p>
    <w:p w14:paraId="0000000A" w14:textId="1DD009F7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Right exercise rate: Rate 100:20, on the record date for shareholders to exercise rights, shareholders owning 100 shares will receive 20 new shares.</w:t>
      </w:r>
    </w:p>
    <w:p w14:paraId="0000000B" w14:textId="79378295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Capital source for the issuance: From undistributed profit after tax as of December 31, 2023, according to the Audited Financial Statement 2023 of the Company.</w:t>
      </w:r>
    </w:p>
    <w:p w14:paraId="0000000C" w14:textId="5A18CEA8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Plan on handling fractional shares: Issued shares to pay dividends for existing shareholders will be rounded down with the fractional parts removed.</w:t>
      </w:r>
    </w:p>
    <w:p w14:paraId="0000000D" w14:textId="77777777" w:rsidR="00087AA9" w:rsidRPr="00B25F09" w:rsidRDefault="00B25F09" w:rsidP="000458F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For example: Shareholder A owns 201 shares at the record date for the list of shareholders With the exercise rate of 100:20, Shareholder will receive 40.2 new shares. According to the above calculation principle, the number of 0.2 odd shares will be canceled. Therefore, shareholder A will receive 40 new shares.</w:t>
      </w:r>
    </w:p>
    <w:p w14:paraId="0000000E" w14:textId="77777777" w:rsidR="00087AA9" w:rsidRPr="00B25F09" w:rsidRDefault="00B25F09" w:rsidP="0004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5F09">
        <w:rPr>
          <w:rFonts w:ascii="Arial" w:hAnsi="Arial" w:cs="Arial"/>
          <w:color w:val="010000"/>
          <w:sz w:val="20"/>
        </w:rPr>
        <w:t>Record date to exercise the right: August 05, 2024.</w:t>
      </w:r>
    </w:p>
    <w:p w14:paraId="4966DF06" w14:textId="77777777" w:rsidR="000458F7" w:rsidRPr="00B25F09" w:rsidRDefault="000458F7" w:rsidP="00571AF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0458F7" w:rsidRPr="00B25F09" w:rsidSect="00B25F0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7D1"/>
    <w:multiLevelType w:val="multilevel"/>
    <w:tmpl w:val="D5F017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A9"/>
    <w:rsid w:val="000458F7"/>
    <w:rsid w:val="00087AA9"/>
    <w:rsid w:val="00571AFE"/>
    <w:rsid w:val="00B25F09"/>
    <w:rsid w:val="00E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CF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53C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83855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83855"/>
      <w:w w:val="60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83855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D83855"/>
      <w:sz w:val="30"/>
      <w:szCs w:val="3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color w:val="2E353C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Arial" w:eastAsia="Arial" w:hAnsi="Arial" w:cs="Arial"/>
      <w:sz w:val="8"/>
      <w:szCs w:val="8"/>
    </w:rPr>
  </w:style>
  <w:style w:type="paragraph" w:customStyle="1" w:styleId="Heading31">
    <w:name w:val="Heading #3"/>
    <w:basedOn w:val="Normal"/>
    <w:link w:val="Heading30"/>
    <w:pPr>
      <w:spacing w:line="30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Pr>
      <w:rFonts w:ascii="Verdana" w:eastAsia="Verdana" w:hAnsi="Verdana" w:cs="Verdana"/>
      <w:color w:val="D83855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360" w:lineRule="auto"/>
      <w:jc w:val="right"/>
    </w:pPr>
    <w:rPr>
      <w:rFonts w:ascii="Arial" w:eastAsia="Arial" w:hAnsi="Arial" w:cs="Arial"/>
      <w:b/>
      <w:bCs/>
      <w:color w:val="D83855"/>
      <w:w w:val="60"/>
      <w:sz w:val="19"/>
      <w:szCs w:val="19"/>
    </w:rPr>
  </w:style>
  <w:style w:type="paragraph" w:customStyle="1" w:styleId="Heading21">
    <w:name w:val="Heading #2"/>
    <w:basedOn w:val="Normal"/>
    <w:link w:val="Heading20"/>
    <w:pPr>
      <w:spacing w:line="233" w:lineRule="auto"/>
      <w:jc w:val="right"/>
      <w:outlineLvl w:val="1"/>
    </w:pPr>
    <w:rPr>
      <w:rFonts w:ascii="Times New Roman" w:eastAsia="Times New Roman" w:hAnsi="Times New Roman" w:cs="Times New Roman"/>
      <w:color w:val="D83855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D83855"/>
      <w:sz w:val="30"/>
      <w:szCs w:val="30"/>
    </w:rPr>
  </w:style>
  <w:style w:type="paragraph" w:styleId="NormalWeb">
    <w:name w:val="Normal (Web)"/>
    <w:basedOn w:val="Normal"/>
    <w:uiPriority w:val="99"/>
    <w:unhideWhenUsed/>
    <w:rsid w:val="00322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53C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83855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83855"/>
      <w:w w:val="60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83855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D83855"/>
      <w:sz w:val="30"/>
      <w:szCs w:val="3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color w:val="2E353C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Arial" w:eastAsia="Arial" w:hAnsi="Arial" w:cs="Arial"/>
      <w:sz w:val="8"/>
      <w:szCs w:val="8"/>
    </w:rPr>
  </w:style>
  <w:style w:type="paragraph" w:customStyle="1" w:styleId="Heading31">
    <w:name w:val="Heading #3"/>
    <w:basedOn w:val="Normal"/>
    <w:link w:val="Heading30"/>
    <w:pPr>
      <w:spacing w:line="30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Pr>
      <w:rFonts w:ascii="Verdana" w:eastAsia="Verdana" w:hAnsi="Verdana" w:cs="Verdana"/>
      <w:color w:val="D83855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360" w:lineRule="auto"/>
      <w:jc w:val="right"/>
    </w:pPr>
    <w:rPr>
      <w:rFonts w:ascii="Arial" w:eastAsia="Arial" w:hAnsi="Arial" w:cs="Arial"/>
      <w:b/>
      <w:bCs/>
      <w:color w:val="D83855"/>
      <w:w w:val="60"/>
      <w:sz w:val="19"/>
      <w:szCs w:val="19"/>
    </w:rPr>
  </w:style>
  <w:style w:type="paragraph" w:customStyle="1" w:styleId="Heading21">
    <w:name w:val="Heading #2"/>
    <w:basedOn w:val="Normal"/>
    <w:link w:val="Heading20"/>
    <w:pPr>
      <w:spacing w:line="233" w:lineRule="auto"/>
      <w:jc w:val="right"/>
      <w:outlineLvl w:val="1"/>
    </w:pPr>
    <w:rPr>
      <w:rFonts w:ascii="Times New Roman" w:eastAsia="Times New Roman" w:hAnsi="Times New Roman" w:cs="Times New Roman"/>
      <w:color w:val="D83855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D83855"/>
      <w:sz w:val="30"/>
      <w:szCs w:val="30"/>
    </w:rPr>
  </w:style>
  <w:style w:type="paragraph" w:styleId="NormalWeb">
    <w:name w:val="Normal (Web)"/>
    <w:basedOn w:val="Normal"/>
    <w:uiPriority w:val="99"/>
    <w:unhideWhenUsed/>
    <w:rsid w:val="00322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aeP7kgot1eSSeT7AlUfP8Ro0KQ==">CgMxLjA4AHIhMU9vaW1lZEVXX052Zk9mZ1Q3YlN5MFYtQ1lRV1g2Ykdt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2024-07-19T03:22:00Z</dcterms:created>
  <dcterms:modified xsi:type="dcterms:W3CDTF">2024-07-22T03:28:00Z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bb862ffb93cbc0b966dc6c21e13b042abfa16ce7f80884bf200b130cc4fe88d4</vt:lpwstr>
  </property>
</Properties>
</file>