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990687">
        <w:rPr>
          <w:rFonts w:ascii="Arial" w:hAnsi="Arial" w:cs="Arial"/>
          <w:b/>
          <w:color w:val="010000"/>
          <w:sz w:val="20"/>
        </w:rPr>
        <w:t>DND: Board Resolution</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On July 18, </w:t>
      </w:r>
      <w:r w:rsidR="00C713A9" w:rsidRPr="00990687">
        <w:rPr>
          <w:rFonts w:ascii="Arial" w:hAnsi="Arial" w:cs="Arial"/>
          <w:color w:val="010000"/>
          <w:sz w:val="20"/>
          <w:lang w:val="vi-VN"/>
        </w:rPr>
        <w:t>2024,</w:t>
      </w:r>
      <w:r w:rsidRPr="00990687">
        <w:rPr>
          <w:rFonts w:ascii="Arial" w:hAnsi="Arial" w:cs="Arial"/>
          <w:color w:val="010000"/>
          <w:sz w:val="20"/>
        </w:rPr>
        <w:t xml:space="preserve"> Dong </w:t>
      </w:r>
      <w:proofErr w:type="spellStart"/>
      <w:r w:rsidRPr="00990687">
        <w:rPr>
          <w:rFonts w:ascii="Arial" w:hAnsi="Arial" w:cs="Arial"/>
          <w:color w:val="010000"/>
          <w:sz w:val="20"/>
        </w:rPr>
        <w:t>Nai</w:t>
      </w:r>
      <w:proofErr w:type="spellEnd"/>
      <w:r w:rsidRPr="00990687">
        <w:rPr>
          <w:rFonts w:ascii="Arial" w:hAnsi="Arial" w:cs="Arial"/>
          <w:color w:val="010000"/>
          <w:sz w:val="20"/>
        </w:rPr>
        <w:t xml:space="preserve"> Material &amp; Building Investment Joint Stock Company announced Resolution No. 60/NQ-HDQT-DNC on implementing the plan on the private placement to increase charter capital as follows:</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‎‎Article 1. Approve the implementation of the plan on the private placement to increase charter capital of Dong </w:t>
      </w:r>
      <w:proofErr w:type="spellStart"/>
      <w:r w:rsidRPr="00990687">
        <w:rPr>
          <w:rFonts w:ascii="Arial" w:hAnsi="Arial" w:cs="Arial"/>
          <w:color w:val="010000"/>
          <w:sz w:val="20"/>
        </w:rPr>
        <w:t>Nai</w:t>
      </w:r>
      <w:proofErr w:type="spellEnd"/>
      <w:r w:rsidRPr="00990687">
        <w:rPr>
          <w:rFonts w:ascii="Arial" w:hAnsi="Arial" w:cs="Arial"/>
          <w:color w:val="010000"/>
          <w:sz w:val="20"/>
        </w:rPr>
        <w:t xml:space="preserve"> Material &amp; Building Investment Joint Stock Company according to the General Mandate No.55/NQ.DHDCD-DNC dated August 8, 2024</w:t>
      </w:r>
      <w:r w:rsidR="00C713A9" w:rsidRPr="00990687">
        <w:rPr>
          <w:rFonts w:ascii="Arial" w:hAnsi="Arial" w:cs="Arial"/>
          <w:color w:val="010000"/>
          <w:sz w:val="20"/>
        </w:rPr>
        <w:t>,</w:t>
      </w:r>
      <w:r w:rsidRPr="00990687">
        <w:rPr>
          <w:rFonts w:ascii="Arial" w:hAnsi="Arial" w:cs="Arial"/>
          <w:color w:val="010000"/>
          <w:sz w:val="20"/>
        </w:rPr>
        <w:t xml:space="preserve"> and </w:t>
      </w:r>
      <w:r w:rsidR="00C713A9" w:rsidRPr="00990687">
        <w:rPr>
          <w:rFonts w:ascii="Arial" w:hAnsi="Arial" w:cs="Arial"/>
          <w:color w:val="010000"/>
          <w:sz w:val="20"/>
          <w:lang w:val="vi-VN"/>
        </w:rPr>
        <w:t xml:space="preserve">General </w:t>
      </w:r>
      <w:r w:rsidR="00C713A9" w:rsidRPr="00990687">
        <w:rPr>
          <w:rFonts w:ascii="Arial" w:hAnsi="Arial" w:cs="Arial"/>
          <w:color w:val="010000"/>
          <w:sz w:val="20"/>
        </w:rPr>
        <w:t>Mandate No.59/NQ.DHDCD-DNC on collecting</w:t>
      </w:r>
      <w:r w:rsidRPr="00990687">
        <w:rPr>
          <w:rFonts w:ascii="Arial" w:hAnsi="Arial" w:cs="Arial"/>
          <w:color w:val="010000"/>
          <w:sz w:val="20"/>
        </w:rPr>
        <w:t xml:space="preserve"> shareholders' opinions </w:t>
      </w:r>
      <w:r w:rsidR="00C713A9" w:rsidRPr="00990687">
        <w:rPr>
          <w:rFonts w:ascii="Arial" w:hAnsi="Arial" w:cs="Arial"/>
          <w:color w:val="010000"/>
          <w:sz w:val="20"/>
        </w:rPr>
        <w:t>via ballot</w:t>
      </w:r>
      <w:r w:rsidRPr="00990687">
        <w:rPr>
          <w:rFonts w:ascii="Arial" w:hAnsi="Arial" w:cs="Arial"/>
          <w:color w:val="010000"/>
          <w:sz w:val="20"/>
        </w:rPr>
        <w:t xml:space="preserve"> dated July 18, 2024.</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The detailed plan on the private placement is as follows:</w:t>
      </w:r>
    </w:p>
    <w:p w:rsidR="003D6A16" w:rsidRPr="00990687" w:rsidRDefault="00990687" w:rsidP="00C713A9">
      <w:pPr>
        <w:numPr>
          <w:ilvl w:val="0"/>
          <w:numId w:val="1"/>
        </w:numPr>
        <w:pBdr>
          <w:top w:val="nil"/>
          <w:left w:val="nil"/>
          <w:bottom w:val="nil"/>
          <w:right w:val="nil"/>
          <w:between w:val="nil"/>
        </w:pBdr>
        <w:tabs>
          <w:tab w:val="left" w:pos="432"/>
          <w:tab w:val="left" w:pos="969"/>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Name of issuer: Dong </w:t>
      </w:r>
      <w:proofErr w:type="spellStart"/>
      <w:r w:rsidRPr="00990687">
        <w:rPr>
          <w:rFonts w:ascii="Arial" w:hAnsi="Arial" w:cs="Arial"/>
          <w:color w:val="010000"/>
          <w:sz w:val="20"/>
        </w:rPr>
        <w:t>Nai</w:t>
      </w:r>
      <w:proofErr w:type="spellEnd"/>
      <w:r w:rsidRPr="00990687">
        <w:rPr>
          <w:rFonts w:ascii="Arial" w:hAnsi="Arial" w:cs="Arial"/>
          <w:color w:val="010000"/>
          <w:sz w:val="20"/>
        </w:rPr>
        <w:t xml:space="preserve"> Material &amp; Building Investment Joint Stock Company</w:t>
      </w:r>
    </w:p>
    <w:p w:rsidR="003D6A16" w:rsidRPr="00990687" w:rsidRDefault="00990687" w:rsidP="00C713A9">
      <w:pPr>
        <w:numPr>
          <w:ilvl w:val="0"/>
          <w:numId w:val="1"/>
        </w:numPr>
        <w:pBdr>
          <w:top w:val="nil"/>
          <w:left w:val="nil"/>
          <w:bottom w:val="nil"/>
          <w:right w:val="nil"/>
          <w:between w:val="nil"/>
        </w:pBdr>
        <w:tabs>
          <w:tab w:val="left" w:pos="432"/>
          <w:tab w:val="left" w:pos="969"/>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Name of offered shares: Shares of Dong </w:t>
      </w:r>
      <w:proofErr w:type="spellStart"/>
      <w:r w:rsidRPr="00990687">
        <w:rPr>
          <w:rFonts w:ascii="Arial" w:hAnsi="Arial" w:cs="Arial"/>
          <w:color w:val="010000"/>
          <w:sz w:val="20"/>
        </w:rPr>
        <w:t>Nai</w:t>
      </w:r>
      <w:proofErr w:type="spellEnd"/>
      <w:r w:rsidRPr="00990687">
        <w:rPr>
          <w:rFonts w:ascii="Arial" w:hAnsi="Arial" w:cs="Arial"/>
          <w:color w:val="010000"/>
          <w:sz w:val="20"/>
        </w:rPr>
        <w:t xml:space="preserve"> Material &amp; Building Investment Joint Stock Company</w:t>
      </w:r>
    </w:p>
    <w:p w:rsidR="003D6A16" w:rsidRPr="00990687" w:rsidRDefault="00990687" w:rsidP="00C713A9">
      <w:pPr>
        <w:numPr>
          <w:ilvl w:val="0"/>
          <w:numId w:val="1"/>
        </w:numPr>
        <w:pBdr>
          <w:top w:val="nil"/>
          <w:left w:val="nil"/>
          <w:bottom w:val="nil"/>
          <w:right w:val="nil"/>
          <w:between w:val="nil"/>
        </w:pBdr>
        <w:tabs>
          <w:tab w:val="left" w:pos="432"/>
          <w:tab w:val="left" w:pos="969"/>
        </w:tabs>
        <w:spacing w:after="120" w:line="360" w:lineRule="auto"/>
        <w:rPr>
          <w:rFonts w:ascii="Arial" w:eastAsia="Arial" w:hAnsi="Arial" w:cs="Arial"/>
          <w:color w:val="010000"/>
          <w:sz w:val="20"/>
          <w:szCs w:val="20"/>
        </w:rPr>
      </w:pPr>
      <w:r w:rsidRPr="00990687">
        <w:rPr>
          <w:rFonts w:ascii="Arial" w:hAnsi="Arial" w:cs="Arial"/>
          <w:color w:val="010000"/>
          <w:sz w:val="20"/>
        </w:rPr>
        <w:t>Type of share: Common shares</w:t>
      </w:r>
    </w:p>
    <w:p w:rsidR="003D6A16" w:rsidRPr="00990687" w:rsidRDefault="00990687" w:rsidP="00C713A9">
      <w:pPr>
        <w:numPr>
          <w:ilvl w:val="0"/>
          <w:numId w:val="1"/>
        </w:numPr>
        <w:pBdr>
          <w:top w:val="nil"/>
          <w:left w:val="nil"/>
          <w:bottom w:val="nil"/>
          <w:right w:val="nil"/>
          <w:between w:val="nil"/>
        </w:pBdr>
        <w:tabs>
          <w:tab w:val="left" w:pos="432"/>
          <w:tab w:val="left" w:pos="969"/>
        </w:tabs>
        <w:spacing w:after="120" w:line="360" w:lineRule="auto"/>
        <w:rPr>
          <w:rFonts w:ascii="Arial" w:eastAsia="Arial" w:hAnsi="Arial" w:cs="Arial"/>
          <w:color w:val="010000"/>
          <w:sz w:val="20"/>
          <w:szCs w:val="20"/>
        </w:rPr>
      </w:pPr>
      <w:r w:rsidRPr="00990687">
        <w:rPr>
          <w:rFonts w:ascii="Arial" w:hAnsi="Arial" w:cs="Arial"/>
          <w:color w:val="010000"/>
          <w:sz w:val="20"/>
        </w:rPr>
        <w:t>Par value: VND10,000/share;</w:t>
      </w:r>
    </w:p>
    <w:p w:rsidR="003D6A16" w:rsidRPr="00990687" w:rsidRDefault="00990687" w:rsidP="00C713A9">
      <w:pPr>
        <w:numPr>
          <w:ilvl w:val="0"/>
          <w:numId w:val="1"/>
        </w:numPr>
        <w:pBdr>
          <w:top w:val="nil"/>
          <w:left w:val="nil"/>
          <w:bottom w:val="nil"/>
          <w:right w:val="nil"/>
          <w:between w:val="nil"/>
        </w:pBdr>
        <w:tabs>
          <w:tab w:val="left" w:pos="432"/>
          <w:tab w:val="left" w:pos="969"/>
        </w:tabs>
        <w:spacing w:after="120" w:line="360" w:lineRule="auto"/>
        <w:rPr>
          <w:rFonts w:ascii="Arial" w:eastAsia="Arial" w:hAnsi="Arial" w:cs="Arial"/>
          <w:color w:val="010000"/>
          <w:sz w:val="20"/>
          <w:szCs w:val="20"/>
        </w:rPr>
      </w:pPr>
      <w:r w:rsidRPr="00990687">
        <w:rPr>
          <w:rFonts w:ascii="Arial" w:hAnsi="Arial" w:cs="Arial"/>
          <w:color w:val="010000"/>
          <w:sz w:val="20"/>
        </w:rPr>
        <w:t>Number of issued shares: 8,834,000 shares</w:t>
      </w:r>
    </w:p>
    <w:p w:rsidR="003D6A16" w:rsidRPr="00990687" w:rsidRDefault="00990687" w:rsidP="00C713A9">
      <w:pPr>
        <w:numPr>
          <w:ilvl w:val="0"/>
          <w:numId w:val="1"/>
        </w:numPr>
        <w:pBdr>
          <w:top w:val="nil"/>
          <w:left w:val="nil"/>
          <w:bottom w:val="nil"/>
          <w:right w:val="nil"/>
          <w:between w:val="nil"/>
        </w:pBdr>
        <w:tabs>
          <w:tab w:val="left" w:pos="432"/>
          <w:tab w:val="left" w:pos="969"/>
        </w:tabs>
        <w:spacing w:after="120" w:line="360" w:lineRule="auto"/>
        <w:rPr>
          <w:rFonts w:ascii="Arial" w:eastAsia="Arial" w:hAnsi="Arial" w:cs="Arial"/>
          <w:color w:val="010000"/>
          <w:sz w:val="20"/>
          <w:szCs w:val="20"/>
        </w:rPr>
      </w:pPr>
      <w:r w:rsidRPr="00990687">
        <w:rPr>
          <w:rFonts w:ascii="Arial" w:hAnsi="Arial" w:cs="Arial"/>
          <w:color w:val="010000"/>
          <w:sz w:val="20"/>
        </w:rPr>
        <w:t>Number of outstanding shares: 8,834,000 shares;</w:t>
      </w:r>
    </w:p>
    <w:p w:rsidR="003D6A16" w:rsidRPr="00990687" w:rsidRDefault="00990687" w:rsidP="00C713A9">
      <w:pPr>
        <w:numPr>
          <w:ilvl w:val="0"/>
          <w:numId w:val="1"/>
        </w:numPr>
        <w:pBdr>
          <w:top w:val="nil"/>
          <w:left w:val="nil"/>
          <w:bottom w:val="nil"/>
          <w:right w:val="nil"/>
          <w:between w:val="nil"/>
        </w:pBdr>
        <w:tabs>
          <w:tab w:val="left" w:pos="432"/>
          <w:tab w:val="left" w:pos="956"/>
        </w:tabs>
        <w:spacing w:after="120" w:line="360" w:lineRule="auto"/>
        <w:rPr>
          <w:rFonts w:ascii="Arial" w:eastAsia="Arial" w:hAnsi="Arial" w:cs="Arial"/>
          <w:color w:val="010000"/>
          <w:sz w:val="20"/>
          <w:szCs w:val="20"/>
        </w:rPr>
      </w:pPr>
      <w:r w:rsidRPr="00990687">
        <w:rPr>
          <w:rFonts w:ascii="Arial" w:hAnsi="Arial" w:cs="Arial"/>
          <w:color w:val="010000"/>
          <w:sz w:val="20"/>
        </w:rPr>
        <w:t>Maximum number of issued shares: 4,000,000 shares</w:t>
      </w:r>
    </w:p>
    <w:p w:rsidR="003D6A16" w:rsidRPr="00990687" w:rsidRDefault="00990687" w:rsidP="00C713A9">
      <w:pPr>
        <w:numPr>
          <w:ilvl w:val="0"/>
          <w:numId w:val="1"/>
        </w:numPr>
        <w:pBdr>
          <w:top w:val="nil"/>
          <w:left w:val="nil"/>
          <w:bottom w:val="nil"/>
          <w:right w:val="nil"/>
          <w:between w:val="nil"/>
        </w:pBdr>
        <w:tabs>
          <w:tab w:val="left" w:pos="432"/>
          <w:tab w:val="left" w:pos="956"/>
        </w:tabs>
        <w:spacing w:after="120" w:line="360" w:lineRule="auto"/>
        <w:rPr>
          <w:rFonts w:ascii="Arial" w:eastAsia="Arial" w:hAnsi="Arial" w:cs="Arial"/>
          <w:color w:val="010000"/>
          <w:sz w:val="20"/>
          <w:szCs w:val="20"/>
        </w:rPr>
      </w:pPr>
      <w:r w:rsidRPr="00990687">
        <w:rPr>
          <w:rFonts w:ascii="Arial" w:hAnsi="Arial" w:cs="Arial"/>
          <w:color w:val="010000"/>
          <w:sz w:val="20"/>
        </w:rPr>
        <w:t>Total offering value (at par value): VND40,000,000,000</w:t>
      </w:r>
    </w:p>
    <w:p w:rsidR="003D6A16" w:rsidRPr="00990687" w:rsidRDefault="00990687" w:rsidP="00C713A9">
      <w:pPr>
        <w:numPr>
          <w:ilvl w:val="0"/>
          <w:numId w:val="1"/>
        </w:numPr>
        <w:pBdr>
          <w:top w:val="nil"/>
          <w:left w:val="nil"/>
          <w:bottom w:val="nil"/>
          <w:right w:val="nil"/>
          <w:between w:val="nil"/>
        </w:pBdr>
        <w:tabs>
          <w:tab w:val="left" w:pos="432"/>
          <w:tab w:val="left" w:pos="956"/>
        </w:tabs>
        <w:spacing w:after="120" w:line="360" w:lineRule="auto"/>
        <w:rPr>
          <w:rFonts w:ascii="Arial" w:eastAsia="Arial" w:hAnsi="Arial" w:cs="Arial"/>
          <w:color w:val="010000"/>
          <w:sz w:val="20"/>
          <w:szCs w:val="20"/>
        </w:rPr>
      </w:pPr>
      <w:r w:rsidRPr="00990687">
        <w:rPr>
          <w:rFonts w:ascii="Arial" w:hAnsi="Arial" w:cs="Arial"/>
          <w:color w:val="010000"/>
          <w:sz w:val="20"/>
        </w:rPr>
        <w:t>Expected number of shares after the offering: 12,834,000 shares.</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Offering </w:t>
      </w:r>
      <w:r w:rsidR="00C713A9" w:rsidRPr="00990687">
        <w:rPr>
          <w:rFonts w:ascii="Arial" w:hAnsi="Arial" w:cs="Arial"/>
          <w:color w:val="010000"/>
          <w:sz w:val="20"/>
        </w:rPr>
        <w:t>rate</w:t>
      </w:r>
      <w:r w:rsidRPr="00990687">
        <w:rPr>
          <w:rFonts w:ascii="Arial" w:hAnsi="Arial" w:cs="Arial"/>
          <w:color w:val="010000"/>
          <w:sz w:val="20"/>
        </w:rPr>
        <w:t xml:space="preserve"> (number of shares expected to be offered/number of outstanding shares): 45.28%.</w:t>
      </w:r>
    </w:p>
    <w:p w:rsidR="003D6A16" w:rsidRPr="00990687" w:rsidRDefault="00990687" w:rsidP="00C713A9">
      <w:pPr>
        <w:numPr>
          <w:ilvl w:val="0"/>
          <w:numId w:val="1"/>
        </w:numPr>
        <w:pBdr>
          <w:top w:val="nil"/>
          <w:left w:val="nil"/>
          <w:bottom w:val="nil"/>
          <w:right w:val="nil"/>
          <w:between w:val="nil"/>
        </w:pBdr>
        <w:tabs>
          <w:tab w:val="left" w:pos="432"/>
          <w:tab w:val="left" w:pos="1005"/>
        </w:tabs>
        <w:spacing w:after="120" w:line="360" w:lineRule="auto"/>
        <w:rPr>
          <w:rFonts w:ascii="Arial" w:eastAsia="Arial" w:hAnsi="Arial" w:cs="Arial"/>
          <w:color w:val="010000"/>
          <w:sz w:val="20"/>
          <w:szCs w:val="20"/>
        </w:rPr>
      </w:pPr>
      <w:r w:rsidRPr="00990687">
        <w:rPr>
          <w:rFonts w:ascii="Arial" w:hAnsi="Arial" w:cs="Arial"/>
          <w:color w:val="010000"/>
          <w:sz w:val="20"/>
        </w:rPr>
        <w:t>Offering form: Private placement.</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Offering purposes: The private placement </w:t>
      </w:r>
      <w:r w:rsidR="00C713A9" w:rsidRPr="00990687">
        <w:rPr>
          <w:rFonts w:ascii="Arial" w:hAnsi="Arial" w:cs="Arial"/>
          <w:color w:val="010000"/>
          <w:sz w:val="20"/>
        </w:rPr>
        <w:t>for increasing</w:t>
      </w:r>
      <w:r w:rsidRPr="00990687">
        <w:rPr>
          <w:rFonts w:ascii="Arial" w:hAnsi="Arial" w:cs="Arial"/>
          <w:color w:val="010000"/>
          <w:sz w:val="20"/>
        </w:rPr>
        <w:t xml:space="preserve"> capital to mobilize capital to supplement working capital, pay bank debts, pay State budget debts, pay other due debts, as well as supplement capital sources to serve production and business activities and capital construction investment capital of the Company.</w:t>
      </w:r>
    </w:p>
    <w:p w:rsidR="003D6A16" w:rsidRPr="00990687" w:rsidRDefault="00990687" w:rsidP="00C713A9">
      <w:pPr>
        <w:numPr>
          <w:ilvl w:val="0"/>
          <w:numId w:val="1"/>
        </w:numPr>
        <w:pBdr>
          <w:top w:val="nil"/>
          <w:left w:val="nil"/>
          <w:bottom w:val="nil"/>
          <w:right w:val="nil"/>
          <w:between w:val="nil"/>
        </w:pBdr>
        <w:tabs>
          <w:tab w:val="left" w:pos="432"/>
          <w:tab w:val="left" w:pos="1005"/>
        </w:tabs>
        <w:spacing w:after="120" w:line="360" w:lineRule="auto"/>
        <w:rPr>
          <w:rFonts w:ascii="Arial" w:eastAsia="Arial" w:hAnsi="Arial" w:cs="Arial"/>
          <w:color w:val="010000"/>
          <w:sz w:val="20"/>
          <w:szCs w:val="20"/>
        </w:rPr>
      </w:pPr>
      <w:r w:rsidRPr="00990687">
        <w:rPr>
          <w:rFonts w:ascii="Arial" w:hAnsi="Arial" w:cs="Arial"/>
          <w:color w:val="010000"/>
          <w:sz w:val="20"/>
        </w:rPr>
        <w:t>Expected offering price: VND18,200/share.</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Eligible buyers: Professional securities investors are qualified according to the provisions of law.</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Expected number and list of investors:</w:t>
      </w:r>
      <w:r w:rsidR="00C713A9" w:rsidRPr="00990687">
        <w:rPr>
          <w:rFonts w:ascii="Arial" w:hAnsi="Arial" w:cs="Arial"/>
          <w:color w:val="010000"/>
          <w:sz w:val="20"/>
        </w:rPr>
        <w:t xml:space="preserve"> according to the d</w:t>
      </w:r>
      <w:r w:rsidRPr="00990687">
        <w:rPr>
          <w:rFonts w:ascii="Arial" w:hAnsi="Arial" w:cs="Arial"/>
          <w:color w:val="010000"/>
          <w:sz w:val="20"/>
        </w:rPr>
        <w:t>ecision of the General Meeting of Shareholders</w:t>
      </w:r>
      <w:r w:rsidR="00C713A9" w:rsidRPr="00990687">
        <w:rPr>
          <w:rFonts w:ascii="Arial" w:hAnsi="Arial" w:cs="Arial"/>
          <w:color w:val="010000"/>
          <w:sz w:val="20"/>
        </w:rPr>
        <w:t xml:space="preserve"> in the General Mandate No.59/NQ.DHDCD-DNC dated July 18, 2024.</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Plan for handling undistributed shares (if any):</w:t>
      </w:r>
      <w:r w:rsidR="00C713A9" w:rsidRPr="00990687">
        <w:rPr>
          <w:rFonts w:ascii="Arial" w:hAnsi="Arial" w:cs="Arial"/>
          <w:color w:val="010000"/>
          <w:sz w:val="20"/>
        </w:rPr>
        <w:t xml:space="preserve"> according to the d</w:t>
      </w:r>
      <w:r w:rsidRPr="00990687">
        <w:rPr>
          <w:rFonts w:ascii="Arial" w:hAnsi="Arial" w:cs="Arial"/>
          <w:color w:val="010000"/>
          <w:sz w:val="20"/>
        </w:rPr>
        <w:t>ecision of the General Meeting of Shareholders</w:t>
      </w:r>
      <w:r w:rsidR="00C713A9" w:rsidRPr="00990687">
        <w:rPr>
          <w:rFonts w:ascii="Arial" w:hAnsi="Arial" w:cs="Arial"/>
          <w:color w:val="010000"/>
          <w:sz w:val="20"/>
        </w:rPr>
        <w:t xml:space="preserve"> in the General Mandate No.55/NQ.DHDCD-DNC dated April 8, 2024.</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Regulations on transfer restrictions: Shares are restricted from transfer for one year from the date of completion of the offering.</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lastRenderedPageBreak/>
        <w:t>Transfer of share purchase rights: Professional securities investors who are allocated buying rights in this case are not allowed to transfer buying rights to others.</w:t>
      </w:r>
    </w:p>
    <w:p w:rsidR="003D6A16" w:rsidRPr="00990687" w:rsidRDefault="00990687" w:rsidP="00C713A9">
      <w:pPr>
        <w:numPr>
          <w:ilvl w:val="0"/>
          <w:numId w:val="1"/>
        </w:numPr>
        <w:pBdr>
          <w:top w:val="nil"/>
          <w:left w:val="nil"/>
          <w:bottom w:val="nil"/>
          <w:right w:val="nil"/>
          <w:between w:val="nil"/>
        </w:pBdr>
        <w:tabs>
          <w:tab w:val="left" w:pos="432"/>
          <w:tab w:val="left" w:pos="1025"/>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Execution time: Expected </w:t>
      </w:r>
      <w:r w:rsidR="00C713A9" w:rsidRPr="00990687">
        <w:rPr>
          <w:rFonts w:ascii="Arial" w:hAnsi="Arial" w:cs="Arial"/>
          <w:color w:val="010000"/>
          <w:sz w:val="20"/>
        </w:rPr>
        <w:t>offering</w:t>
      </w:r>
      <w:r w:rsidRPr="00990687">
        <w:rPr>
          <w:rFonts w:ascii="Arial" w:hAnsi="Arial" w:cs="Arial"/>
          <w:color w:val="010000"/>
          <w:sz w:val="20"/>
        </w:rPr>
        <w:t xml:space="preserve"> in 2024. The </w:t>
      </w:r>
      <w:r w:rsidR="00C713A9" w:rsidRPr="00990687">
        <w:rPr>
          <w:rFonts w:ascii="Arial" w:hAnsi="Arial" w:cs="Arial"/>
          <w:color w:val="010000"/>
          <w:sz w:val="20"/>
        </w:rPr>
        <w:t>offering</w:t>
      </w:r>
      <w:r w:rsidRPr="00990687">
        <w:rPr>
          <w:rFonts w:ascii="Arial" w:hAnsi="Arial" w:cs="Arial"/>
          <w:color w:val="010000"/>
          <w:sz w:val="20"/>
        </w:rPr>
        <w:t xml:space="preserve"> will be carried out within 90 days from the date the State Securities Commission has written approval for the Company's </w:t>
      </w:r>
      <w:r w:rsidR="00C713A9" w:rsidRPr="00990687">
        <w:rPr>
          <w:rFonts w:ascii="Arial" w:hAnsi="Arial" w:cs="Arial"/>
          <w:color w:val="010000"/>
          <w:sz w:val="20"/>
        </w:rPr>
        <w:t>offering</w:t>
      </w:r>
      <w:r w:rsidRPr="00990687">
        <w:rPr>
          <w:rFonts w:ascii="Arial" w:hAnsi="Arial" w:cs="Arial"/>
          <w:color w:val="010000"/>
          <w:sz w:val="20"/>
        </w:rPr>
        <w:t>.</w:t>
      </w:r>
    </w:p>
    <w:p w:rsidR="003D6A16" w:rsidRPr="00990687" w:rsidRDefault="00990687" w:rsidP="00C713A9">
      <w:pPr>
        <w:numPr>
          <w:ilvl w:val="0"/>
          <w:numId w:val="1"/>
        </w:numPr>
        <w:pBdr>
          <w:top w:val="nil"/>
          <w:left w:val="nil"/>
          <w:bottom w:val="nil"/>
          <w:right w:val="nil"/>
          <w:between w:val="nil"/>
        </w:pBdr>
        <w:tabs>
          <w:tab w:val="left" w:pos="432"/>
          <w:tab w:val="left" w:pos="1054"/>
        </w:tabs>
        <w:spacing w:after="120" w:line="360" w:lineRule="auto"/>
        <w:rPr>
          <w:rFonts w:ascii="Arial" w:eastAsia="Arial" w:hAnsi="Arial" w:cs="Arial"/>
          <w:color w:val="010000"/>
          <w:sz w:val="20"/>
          <w:szCs w:val="20"/>
        </w:rPr>
      </w:pPr>
      <w:r w:rsidRPr="00990687">
        <w:rPr>
          <w:rFonts w:ascii="Arial" w:hAnsi="Arial" w:cs="Arial"/>
          <w:color w:val="010000"/>
          <w:sz w:val="20"/>
        </w:rPr>
        <w:t>After the end of the private placement to increase charter capital, all shares offered to increase capital will be registered for additional depository at Vietnam Securities Depository and Clearing Corporation and registered for additional listing at the Hanoi Stock Exchange in accordance with current legal regulations.</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‎‎Article 2. Approve details of the plan to use the proceeds from the offering.</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Annual General Mandate 2024 No.</w:t>
      </w:r>
      <w:r w:rsidR="00C10C3E">
        <w:rPr>
          <w:rFonts w:ascii="Arial" w:hAnsi="Arial" w:cs="Arial"/>
          <w:color w:val="010000"/>
          <w:sz w:val="20"/>
        </w:rPr>
        <w:t xml:space="preserve"> </w:t>
      </w:r>
      <w:bookmarkStart w:id="0" w:name="_GoBack"/>
      <w:bookmarkEnd w:id="0"/>
      <w:r w:rsidRPr="00990687">
        <w:rPr>
          <w:rFonts w:ascii="Arial" w:hAnsi="Arial" w:cs="Arial"/>
          <w:color w:val="010000"/>
          <w:sz w:val="20"/>
        </w:rPr>
        <w:t xml:space="preserve">55/NQ.DHDCD-DNC dated April 8, 2024 and Annual General Mandate </w:t>
      </w:r>
      <w:r w:rsidR="00C713A9" w:rsidRPr="00990687">
        <w:rPr>
          <w:rFonts w:ascii="Arial" w:hAnsi="Arial" w:cs="Arial"/>
          <w:color w:val="010000"/>
          <w:sz w:val="20"/>
        </w:rPr>
        <w:t>No.</w:t>
      </w:r>
      <w:r w:rsidR="00C10C3E">
        <w:rPr>
          <w:rFonts w:ascii="Arial" w:hAnsi="Arial" w:cs="Arial"/>
          <w:color w:val="010000"/>
          <w:sz w:val="20"/>
        </w:rPr>
        <w:t xml:space="preserve"> </w:t>
      </w:r>
      <w:r w:rsidR="00C713A9" w:rsidRPr="00990687">
        <w:rPr>
          <w:rFonts w:ascii="Arial" w:hAnsi="Arial" w:cs="Arial"/>
          <w:color w:val="010000"/>
          <w:sz w:val="20"/>
        </w:rPr>
        <w:t xml:space="preserve">59/NQ.DHDCD-DNC on </w:t>
      </w:r>
      <w:r w:rsidRPr="00990687">
        <w:rPr>
          <w:rFonts w:ascii="Arial" w:hAnsi="Arial" w:cs="Arial"/>
          <w:color w:val="010000"/>
          <w:sz w:val="20"/>
        </w:rPr>
        <w:t xml:space="preserve">collecting shareholders' </w:t>
      </w:r>
      <w:r w:rsidR="00C713A9" w:rsidRPr="00990687">
        <w:rPr>
          <w:rFonts w:ascii="Arial" w:hAnsi="Arial" w:cs="Arial"/>
          <w:color w:val="010000"/>
          <w:sz w:val="20"/>
        </w:rPr>
        <w:t>opinions via ballot</w:t>
      </w:r>
      <w:r w:rsidRPr="00990687">
        <w:rPr>
          <w:rFonts w:ascii="Arial" w:hAnsi="Arial" w:cs="Arial"/>
          <w:color w:val="010000"/>
          <w:sz w:val="20"/>
        </w:rPr>
        <w:t xml:space="preserve"> dated July 18, 2024 approved the plan on using the proceeds from the private placement to increase the Company's charter capital will be used as follows: (1) Pay State budget debts; (2) Pay bank loans, payables to suppliers, other due debts, supplement capital construction investment capital and working capital to serve the Company's business activities.</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Based on the Company's production and business plan and construction investment plan, the Company's Board of Directors approved on the plan on using the proceeds from the offering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6"/>
        <w:gridCol w:w="3066"/>
        <w:gridCol w:w="891"/>
        <w:gridCol w:w="1542"/>
        <w:gridCol w:w="1345"/>
        <w:gridCol w:w="1627"/>
      </w:tblGrid>
      <w:tr w:rsidR="003D6A16" w:rsidRPr="00990687" w:rsidTr="00C713A9">
        <w:tc>
          <w:tcPr>
            <w:tcW w:w="303"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No.</w:t>
            </w:r>
          </w:p>
        </w:tc>
        <w:tc>
          <w:tcPr>
            <w:tcW w:w="1700"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Purpose of capital use</w:t>
            </w:r>
          </w:p>
        </w:tc>
        <w:tc>
          <w:tcPr>
            <w:tcW w:w="494" w:type="pct"/>
            <w:shd w:val="clear" w:color="auto" w:fill="auto"/>
            <w:tcMar>
              <w:top w:w="0" w:type="dxa"/>
              <w:bottom w:w="0" w:type="dxa"/>
            </w:tcMar>
            <w:vAlign w:val="center"/>
          </w:tcPr>
          <w:p w:rsidR="003D6A16" w:rsidRPr="00990687" w:rsidRDefault="00990687" w:rsidP="0099068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Total value (million VND)</w:t>
            </w:r>
          </w:p>
        </w:tc>
        <w:tc>
          <w:tcPr>
            <w:tcW w:w="855" w:type="pct"/>
            <w:shd w:val="clear" w:color="auto" w:fill="auto"/>
            <w:tcMar>
              <w:top w:w="0" w:type="dxa"/>
              <w:bottom w:w="0" w:type="dxa"/>
            </w:tcMar>
            <w:vAlign w:val="center"/>
          </w:tcPr>
          <w:p w:rsidR="00990687" w:rsidRPr="00990687" w:rsidRDefault="00990687" w:rsidP="00C713A9">
            <w:pPr>
              <w:pBdr>
                <w:top w:val="nil"/>
                <w:left w:val="nil"/>
                <w:bottom w:val="nil"/>
                <w:right w:val="nil"/>
                <w:between w:val="nil"/>
              </w:pBdr>
              <w:tabs>
                <w:tab w:val="left" w:pos="432"/>
              </w:tabs>
              <w:spacing w:after="120" w:line="360" w:lineRule="auto"/>
              <w:rPr>
                <w:rFonts w:ascii="Arial" w:hAnsi="Arial" w:cs="Arial"/>
                <w:color w:val="010000"/>
                <w:sz w:val="20"/>
              </w:rPr>
            </w:pPr>
            <w:r w:rsidRPr="00990687">
              <w:rPr>
                <w:rFonts w:ascii="Arial" w:hAnsi="Arial" w:cs="Arial"/>
                <w:color w:val="010000"/>
                <w:sz w:val="20"/>
              </w:rPr>
              <w:t xml:space="preserve">Expected use of capital from the offering </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(million VND)</w:t>
            </w:r>
          </w:p>
        </w:tc>
        <w:tc>
          <w:tcPr>
            <w:tcW w:w="746"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Other additional capital sources (million VND)</w:t>
            </w:r>
          </w:p>
        </w:tc>
        <w:tc>
          <w:tcPr>
            <w:tcW w:w="902"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Plan on using capital obtained from the offering</w:t>
            </w:r>
          </w:p>
        </w:tc>
      </w:tr>
      <w:tr w:rsidR="003D6A16" w:rsidRPr="00990687" w:rsidTr="00C713A9">
        <w:tc>
          <w:tcPr>
            <w:tcW w:w="303"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1</w:t>
            </w:r>
          </w:p>
        </w:tc>
        <w:tc>
          <w:tcPr>
            <w:tcW w:w="1700"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Pay State budget debts</w:t>
            </w:r>
          </w:p>
        </w:tc>
        <w:tc>
          <w:tcPr>
            <w:tcW w:w="494"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39,737</w:t>
            </w:r>
          </w:p>
        </w:tc>
        <w:tc>
          <w:tcPr>
            <w:tcW w:w="855"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34,843</w:t>
            </w:r>
          </w:p>
        </w:tc>
        <w:tc>
          <w:tcPr>
            <w:tcW w:w="746"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4,894</w:t>
            </w:r>
          </w:p>
        </w:tc>
        <w:tc>
          <w:tcPr>
            <w:tcW w:w="902"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In Q3/2024, Q4/2024</w:t>
            </w:r>
          </w:p>
        </w:tc>
      </w:tr>
      <w:tr w:rsidR="003D6A16" w:rsidRPr="00990687" w:rsidTr="00C713A9">
        <w:tc>
          <w:tcPr>
            <w:tcW w:w="303"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2</w:t>
            </w:r>
          </w:p>
        </w:tc>
        <w:tc>
          <w:tcPr>
            <w:tcW w:w="1700"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Pay bank loans, payable to suppliers, other due debts, supplement capital construction investment capital and working capital to serve the Company's business activities.</w:t>
            </w:r>
          </w:p>
        </w:tc>
        <w:tc>
          <w:tcPr>
            <w:tcW w:w="494"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41,780</w:t>
            </w:r>
          </w:p>
        </w:tc>
        <w:tc>
          <w:tcPr>
            <w:tcW w:w="855"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37,957</w:t>
            </w:r>
          </w:p>
        </w:tc>
        <w:tc>
          <w:tcPr>
            <w:tcW w:w="746"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3,823</w:t>
            </w:r>
          </w:p>
        </w:tc>
        <w:tc>
          <w:tcPr>
            <w:tcW w:w="902"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In Q3/2024, Q4/2024</w:t>
            </w:r>
          </w:p>
        </w:tc>
      </w:tr>
      <w:tr w:rsidR="003D6A16" w:rsidRPr="00990687" w:rsidTr="00C713A9">
        <w:tc>
          <w:tcPr>
            <w:tcW w:w="2003" w:type="pct"/>
            <w:gridSpan w:val="2"/>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Total</w:t>
            </w:r>
          </w:p>
        </w:tc>
        <w:tc>
          <w:tcPr>
            <w:tcW w:w="494"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81,517</w:t>
            </w:r>
          </w:p>
        </w:tc>
        <w:tc>
          <w:tcPr>
            <w:tcW w:w="855"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72,800</w:t>
            </w:r>
          </w:p>
        </w:tc>
        <w:tc>
          <w:tcPr>
            <w:tcW w:w="746" w:type="pct"/>
            <w:shd w:val="clear" w:color="auto" w:fill="auto"/>
            <w:tcMar>
              <w:top w:w="0" w:type="dxa"/>
              <w:bottom w:w="0" w:type="dxa"/>
            </w:tcMar>
            <w:vAlign w:val="center"/>
          </w:tcPr>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8,717</w:t>
            </w:r>
          </w:p>
        </w:tc>
        <w:tc>
          <w:tcPr>
            <w:tcW w:w="902" w:type="pct"/>
            <w:shd w:val="clear" w:color="auto" w:fill="auto"/>
            <w:tcMar>
              <w:top w:w="0" w:type="dxa"/>
              <w:bottom w:w="0" w:type="dxa"/>
            </w:tcMar>
            <w:vAlign w:val="center"/>
          </w:tcPr>
          <w:p w:rsidR="003D6A16" w:rsidRPr="00990687" w:rsidRDefault="003D6A16" w:rsidP="00C713A9">
            <w:pPr>
              <w:tabs>
                <w:tab w:val="left" w:pos="432"/>
              </w:tabs>
              <w:spacing w:after="120" w:line="360" w:lineRule="auto"/>
              <w:rPr>
                <w:rFonts w:ascii="Arial" w:eastAsia="Arial" w:hAnsi="Arial" w:cs="Arial"/>
                <w:color w:val="010000"/>
                <w:sz w:val="20"/>
                <w:szCs w:val="20"/>
              </w:rPr>
            </w:pPr>
          </w:p>
        </w:tc>
      </w:tr>
    </w:tbl>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Plan on compensating for the shortfall in capital expected to be mobilized from the offering in case the shares are not fully offered as expected and the capital mobilized from selling does not reach as expected, the Board of Directors decides on a plan on compensating for the capital shortage, including but not limited to implementing procedures for bank credit loans or mobilizing other legal capital sources, using capital obtained from business activities to supplement working capital and </w:t>
      </w:r>
      <w:r w:rsidRPr="00990687">
        <w:rPr>
          <w:rFonts w:ascii="Arial" w:hAnsi="Arial" w:cs="Arial"/>
          <w:color w:val="010000"/>
          <w:sz w:val="20"/>
        </w:rPr>
        <w:lastRenderedPageBreak/>
        <w:t>repay debt; adjust capital usage plans, if any.</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 xml:space="preserve">Based on the Company's offering situation and the amount of proceeds obtained from the offering, the Board of Directors decides to prioritize the use of the </w:t>
      </w:r>
      <w:proofErr w:type="spellStart"/>
      <w:r w:rsidRPr="00990687">
        <w:rPr>
          <w:rFonts w:ascii="Arial" w:hAnsi="Arial" w:cs="Arial"/>
          <w:color w:val="010000"/>
          <w:sz w:val="20"/>
        </w:rPr>
        <w:t>procced</w:t>
      </w:r>
      <w:proofErr w:type="spellEnd"/>
      <w:r w:rsidRPr="00990687">
        <w:rPr>
          <w:rFonts w:ascii="Arial" w:hAnsi="Arial" w:cs="Arial"/>
          <w:color w:val="010000"/>
          <w:sz w:val="20"/>
        </w:rPr>
        <w:t xml:space="preserve"> obtained from the offering according to the order of plans and capital usage is arranged in the plan on using proceeds from the offering.</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Article 3. Authorize the Board of Directors</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The Board of Directors assigned and authorized Mr. Tran Anh Dung - the General Manager, the legal representative of the Company to direct relevant departments to complete the offering registration documents according to the provisions of law; Distribute shares to eligible buyers after receiving the written approval of the offering from the State Securities Commission, report the offering results and necessary work according to the provisions of law to complete the offering according to the provisions of law; Complete necessary procedures to change the Business Registration Certificate; Complete the procedures for registering additional shares at the Vietnam Securities Depository and Clearing Corporation, the Stock Exchange and sign and approve the amended Company’s Charter according to the new charter capital after completing offering to increase capital.</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‎‎Article 4. This Resolution takes effect from the date of its signing.</w:t>
      </w:r>
    </w:p>
    <w:p w:rsidR="003D6A16" w:rsidRPr="00990687" w:rsidRDefault="00990687" w:rsidP="00C713A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90687">
        <w:rPr>
          <w:rFonts w:ascii="Arial" w:hAnsi="Arial" w:cs="Arial"/>
          <w:color w:val="010000"/>
          <w:sz w:val="20"/>
        </w:rPr>
        <w:t>Members of the Board of Directors, the Board of Management and relevant departments and individuals are responsible for implementing this Resolution.</w:t>
      </w:r>
    </w:p>
    <w:sectPr w:rsidR="003D6A16" w:rsidRPr="00990687" w:rsidSect="00C713A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57D6"/>
    <w:multiLevelType w:val="multilevel"/>
    <w:tmpl w:val="F426051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16"/>
    <w:rsid w:val="003D6A16"/>
    <w:rsid w:val="00990687"/>
    <w:rsid w:val="00C10C3E"/>
    <w:rsid w:val="00C7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17E41"/>
  <w15:docId w15:val="{CC45D8B2-C9C1-4EFD-A67E-4A364E4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BB344D"/>
      <w:w w:val="7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iCs/>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BB344D"/>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BB344D"/>
      <w:sz w:val="28"/>
      <w:szCs w:val="28"/>
      <w:u w:val="none"/>
      <w:shd w:val="clear" w:color="auto" w:fill="auto"/>
    </w:rPr>
  </w:style>
  <w:style w:type="paragraph" w:customStyle="1" w:styleId="Vnbnnidung0">
    <w:name w:val="Văn bản nội dung"/>
    <w:basedOn w:val="Normal"/>
    <w:link w:val="Vnbnnidung"/>
    <w:pPr>
      <w:spacing w:line="310" w:lineRule="auto"/>
      <w:ind w:firstLine="400"/>
    </w:pPr>
    <w:rPr>
      <w:rFonts w:ascii="Times New Roman" w:eastAsia="Times New Roman" w:hAnsi="Times New Roman" w:cs="Times New Roman"/>
    </w:rPr>
  </w:style>
  <w:style w:type="paragraph" w:customStyle="1" w:styleId="Tiu20">
    <w:name w:val="Tiêu đề #2"/>
    <w:basedOn w:val="Normal"/>
    <w:link w:val="Tiu2"/>
    <w:pPr>
      <w:spacing w:line="298" w:lineRule="auto"/>
      <w:jc w:val="center"/>
      <w:outlineLvl w:val="1"/>
    </w:pPr>
    <w:rPr>
      <w:rFonts w:ascii="Times New Roman" w:eastAsia="Times New Roman" w:hAnsi="Times New Roman" w:cs="Times New Roman"/>
      <w:b/>
      <w:bCs/>
    </w:rPr>
  </w:style>
  <w:style w:type="paragraph" w:customStyle="1" w:styleId="Vnbnnidung20">
    <w:name w:val="Văn bản nội dung (2)"/>
    <w:basedOn w:val="Normal"/>
    <w:link w:val="Vnbnnidung2"/>
    <w:rPr>
      <w:rFonts w:ascii="Arial" w:eastAsia="Arial" w:hAnsi="Arial" w:cs="Arial"/>
      <w:b/>
      <w:bCs/>
      <w:color w:val="BB344D"/>
      <w:w w:val="70"/>
      <w:sz w:val="19"/>
      <w:szCs w:val="19"/>
    </w:rPr>
  </w:style>
  <w:style w:type="paragraph" w:customStyle="1" w:styleId="Chthchbng0">
    <w:name w:val="Chú thích bảng"/>
    <w:basedOn w:val="Normal"/>
    <w:link w:val="Chthchbng"/>
    <w:pPr>
      <w:spacing w:line="276" w:lineRule="auto"/>
      <w:ind w:firstLine="560"/>
    </w:pPr>
    <w:rPr>
      <w:rFonts w:ascii="Times New Roman" w:eastAsia="Times New Roman" w:hAnsi="Times New Roman" w:cs="Times New Roman"/>
      <w:b/>
      <w:bCs/>
      <w:i/>
      <w:iCs/>
      <w:sz w:val="26"/>
      <w:szCs w:val="26"/>
    </w:rPr>
  </w:style>
  <w:style w:type="paragraph" w:customStyle="1" w:styleId="Khc0">
    <w:name w:val="Khác"/>
    <w:basedOn w:val="Normal"/>
    <w:link w:val="Khc"/>
    <w:pPr>
      <w:spacing w:line="310"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rPr>
      <w:rFonts w:ascii="Times New Roman" w:eastAsia="Times New Roman" w:hAnsi="Times New Roman" w:cs="Times New Roman"/>
      <w:b/>
      <w:bCs/>
      <w:color w:val="BB344D"/>
      <w:sz w:val="20"/>
      <w:szCs w:val="20"/>
    </w:rPr>
  </w:style>
  <w:style w:type="paragraph" w:customStyle="1" w:styleId="Tiu10">
    <w:name w:val="Tiêu đề #1"/>
    <w:basedOn w:val="Normal"/>
    <w:link w:val="Tiu1"/>
    <w:pPr>
      <w:outlineLvl w:val="0"/>
    </w:pPr>
    <w:rPr>
      <w:rFonts w:ascii="Times New Roman" w:eastAsia="Times New Roman" w:hAnsi="Times New Roman" w:cs="Times New Roman"/>
      <w:smallCaps/>
      <w:color w:val="BB344D"/>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fwVabNZ3gaiJLEeZJZG9b+cDQ==">CgMxLjA4AHIhMXE3dmpqb3dPTHgtRUc2Ymp1UWdrOFBzZlBuZHVkbFdG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4</cp:revision>
  <dcterms:created xsi:type="dcterms:W3CDTF">2024-07-23T03:29:00Z</dcterms:created>
  <dcterms:modified xsi:type="dcterms:W3CDTF">2024-07-24T02:50:00Z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831d8f015fa142949726faebf560066ad0d4bbd81eb8368beb828a3abc4ab157</vt:lpwstr>
  </property>
</Properties>
</file>