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A71BC" w:rsidRPr="00007637" w:rsidRDefault="00007637" w:rsidP="00CB3F03">
      <w:pPr>
        <w:spacing w:after="120" w:line="360" w:lineRule="auto"/>
        <w:jc w:val="both"/>
        <w:rPr>
          <w:rFonts w:ascii="Arial" w:eastAsia="Arial" w:hAnsi="Arial" w:cs="Arial"/>
          <w:b/>
          <w:color w:val="010000"/>
          <w:sz w:val="20"/>
          <w:szCs w:val="20"/>
        </w:rPr>
      </w:pPr>
      <w:r w:rsidRPr="00007637">
        <w:rPr>
          <w:rFonts w:ascii="Arial" w:hAnsi="Arial" w:cs="Arial"/>
          <w:b/>
          <w:color w:val="010000"/>
          <w:sz w:val="20"/>
        </w:rPr>
        <w:t>TNP: Board Resolution</w:t>
      </w:r>
    </w:p>
    <w:p w14:paraId="00000002" w14:textId="2BA1EF5E" w:rsidR="003A71BC" w:rsidRPr="00007637" w:rsidRDefault="00007637" w:rsidP="00CB3F03">
      <w:pPr>
        <w:spacing w:after="120" w:line="360" w:lineRule="auto"/>
        <w:jc w:val="both"/>
        <w:rPr>
          <w:rFonts w:ascii="Arial" w:eastAsia="Arial" w:hAnsi="Arial" w:cs="Arial"/>
          <w:color w:val="010000"/>
          <w:sz w:val="20"/>
          <w:szCs w:val="20"/>
        </w:rPr>
      </w:pPr>
      <w:r w:rsidRPr="00007637">
        <w:rPr>
          <w:rFonts w:ascii="Arial" w:hAnsi="Arial" w:cs="Arial"/>
          <w:color w:val="010000"/>
          <w:sz w:val="20"/>
        </w:rPr>
        <w:t>On July 22, 2024, Thi Nai Port Joint Stock Company announced Resolution No. 16/NQ-HDQT on the 4th Meeting of the Board of Directors as follows:</w:t>
      </w:r>
      <w:bookmarkStart w:id="0" w:name="_GoBack"/>
      <w:bookmarkEnd w:id="0"/>
    </w:p>
    <w:p w14:paraId="00000003" w14:textId="77777777" w:rsidR="003A71BC" w:rsidRPr="00007637" w:rsidRDefault="00007637" w:rsidP="00CB3F03">
      <w:pPr>
        <w:spacing w:after="120" w:line="360" w:lineRule="auto"/>
        <w:jc w:val="both"/>
        <w:rPr>
          <w:rFonts w:ascii="Arial" w:eastAsia="Arial" w:hAnsi="Arial" w:cs="Arial"/>
          <w:color w:val="010000"/>
          <w:sz w:val="20"/>
          <w:szCs w:val="20"/>
        </w:rPr>
      </w:pPr>
      <w:r w:rsidRPr="00007637">
        <w:rPr>
          <w:rFonts w:ascii="Arial" w:hAnsi="Arial" w:cs="Arial"/>
          <w:color w:val="010000"/>
          <w:sz w:val="20"/>
        </w:rPr>
        <w:t>Article 1. Approve the record date to exercise rights to pay dividends 2023 in cash as follows:</w:t>
      </w:r>
    </w:p>
    <w:p w14:paraId="00000004"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Securities name: Shares of Thi Nai Port Joint Stock Company</w:t>
      </w:r>
    </w:p>
    <w:p w14:paraId="00000005"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Securities code: TNP</w:t>
      </w:r>
    </w:p>
    <w:p w14:paraId="00000006"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Securities type: Common shares.</w:t>
      </w:r>
    </w:p>
    <w:p w14:paraId="00000007" w14:textId="77777777" w:rsidR="003A71BC" w:rsidRPr="00007637" w:rsidRDefault="00007637" w:rsidP="00CB3F03">
      <w:pPr>
        <w:numPr>
          <w:ilvl w:val="0"/>
          <w:numId w:val="1"/>
        </w:numPr>
        <w:tabs>
          <w:tab w:val="left" w:pos="540"/>
          <w:tab w:val="left" w:pos="4109"/>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Par value: VND10,000/share.</w:t>
      </w:r>
    </w:p>
    <w:p w14:paraId="00000008"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Record date: August 20, 2024</w:t>
      </w:r>
    </w:p>
    <w:p w14:paraId="00000009"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Payment date: September 10, 2024</w:t>
      </w:r>
    </w:p>
    <w:p w14:paraId="0000000A" w14:textId="77777777" w:rsidR="003A71BC" w:rsidRPr="00007637" w:rsidRDefault="00007637" w:rsidP="00CB3F03">
      <w:pPr>
        <w:numPr>
          <w:ilvl w:val="0"/>
          <w:numId w:val="1"/>
        </w:numPr>
        <w:tabs>
          <w:tab w:val="left" w:pos="540"/>
        </w:tabs>
        <w:spacing w:after="120" w:line="360" w:lineRule="auto"/>
        <w:ind w:left="0" w:firstLine="0"/>
        <w:jc w:val="both"/>
        <w:rPr>
          <w:rFonts w:ascii="Arial" w:eastAsia="Arial" w:hAnsi="Arial" w:cs="Arial"/>
          <w:color w:val="010000"/>
          <w:sz w:val="20"/>
          <w:szCs w:val="20"/>
        </w:rPr>
      </w:pPr>
      <w:r w:rsidRPr="00007637">
        <w:rPr>
          <w:rFonts w:ascii="Arial" w:hAnsi="Arial" w:cs="Arial"/>
          <w:color w:val="010000"/>
          <w:sz w:val="20"/>
        </w:rPr>
        <w:t xml:space="preserve">Exercise rate: 25%/share (shareholders receive VND2,500 for </w:t>
      </w:r>
      <w:r w:rsidRPr="00007637">
        <w:rPr>
          <w:rFonts w:ascii="Arial" w:hAnsi="Arial" w:cs="Arial"/>
          <w:color w:val="010000"/>
          <w:sz w:val="20"/>
          <w:lang w:val="vi-VN"/>
        </w:rPr>
        <w:t xml:space="preserve">each </w:t>
      </w:r>
      <w:r w:rsidRPr="00007637">
        <w:rPr>
          <w:rFonts w:ascii="Arial" w:hAnsi="Arial" w:cs="Arial"/>
          <w:color w:val="010000"/>
          <w:sz w:val="20"/>
        </w:rPr>
        <w:t>share they own)</w:t>
      </w:r>
    </w:p>
    <w:p w14:paraId="0000000B" w14:textId="77777777" w:rsidR="003A71BC" w:rsidRPr="00007637" w:rsidRDefault="00007637" w:rsidP="00CB3F03">
      <w:pPr>
        <w:spacing w:after="120" w:line="360" w:lineRule="auto"/>
        <w:jc w:val="both"/>
        <w:rPr>
          <w:rFonts w:ascii="Arial" w:eastAsia="Arial" w:hAnsi="Arial" w:cs="Arial"/>
          <w:color w:val="010000"/>
          <w:sz w:val="20"/>
          <w:szCs w:val="20"/>
        </w:rPr>
      </w:pPr>
      <w:r w:rsidRPr="00007637">
        <w:rPr>
          <w:rFonts w:ascii="Arial" w:hAnsi="Arial" w:cs="Arial"/>
          <w:color w:val="010000"/>
          <w:sz w:val="20"/>
        </w:rPr>
        <w:t>Article 2: Approve on assigning the Manager of the Company, based on functions and tasks, to organize the implementation ensuring compliance with current provisions of law.</w:t>
      </w:r>
    </w:p>
    <w:p w14:paraId="0000000C" w14:textId="77777777" w:rsidR="003A71BC" w:rsidRPr="00007637" w:rsidRDefault="00007637" w:rsidP="00CB3F03">
      <w:pPr>
        <w:spacing w:after="120" w:line="360" w:lineRule="auto"/>
        <w:jc w:val="both"/>
        <w:rPr>
          <w:rFonts w:ascii="Arial" w:eastAsia="Arial" w:hAnsi="Arial" w:cs="Arial"/>
          <w:color w:val="010000"/>
          <w:sz w:val="20"/>
          <w:szCs w:val="20"/>
        </w:rPr>
      </w:pPr>
      <w:r w:rsidRPr="00007637">
        <w:rPr>
          <w:rFonts w:ascii="Arial" w:hAnsi="Arial" w:cs="Arial"/>
          <w:color w:val="010000"/>
          <w:sz w:val="20"/>
        </w:rPr>
        <w:t>Article 3: This Resolution takes effect from the date of its signing. Members of the Board of Directors, the Executive Board of the Company, relevant units, and individuals are responsible for the implementation of this Resolution./.</w:t>
      </w:r>
    </w:p>
    <w:sectPr w:rsidR="003A71BC" w:rsidRPr="00007637" w:rsidSect="00007637">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9BD6D802"/>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BC"/>
    <w:rsid w:val="00007637"/>
    <w:rsid w:val="003A71BC"/>
    <w:rsid w:val="00CB3F03"/>
    <w:rsid w:val="128F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3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rPr>
  </w:style>
  <w:style w:type="paragraph" w:styleId="Heading1">
    <w:name w:val="heading 1"/>
    <w:next w:val="Normal"/>
    <w:pPr>
      <w:keepNext/>
      <w:keepLines/>
      <w:widowControl w:val="0"/>
      <w:spacing w:before="480" w:after="120"/>
      <w:outlineLvl w:val="0"/>
    </w:pPr>
    <w:rPr>
      <w:b/>
      <w:sz w:val="48"/>
      <w:szCs w:val="48"/>
    </w:rPr>
  </w:style>
  <w:style w:type="paragraph" w:styleId="Heading2">
    <w:name w:val="heading 2"/>
    <w:next w:val="Normal"/>
    <w:pPr>
      <w:keepNext/>
      <w:keepLines/>
      <w:widowControl w:val="0"/>
      <w:spacing w:before="360" w:after="80"/>
      <w:outlineLvl w:val="1"/>
    </w:pPr>
    <w:rPr>
      <w:b/>
      <w:sz w:val="36"/>
      <w:szCs w:val="36"/>
    </w:rPr>
  </w:style>
  <w:style w:type="paragraph" w:styleId="Heading3">
    <w:name w:val="heading 3"/>
    <w:next w:val="Normal"/>
    <w:pPr>
      <w:keepNext/>
      <w:keepLines/>
      <w:widowControl w:val="0"/>
      <w:spacing w:before="280" w:after="80"/>
      <w:outlineLvl w:val="2"/>
    </w:pPr>
    <w:rPr>
      <w:b/>
      <w:sz w:val="28"/>
      <w:szCs w:val="28"/>
    </w:rPr>
  </w:style>
  <w:style w:type="paragraph" w:styleId="Heading4">
    <w:name w:val="heading 4"/>
    <w:next w:val="Normal"/>
    <w:pPr>
      <w:keepNext/>
      <w:keepLines/>
      <w:widowControl w:val="0"/>
      <w:spacing w:before="240" w:after="40"/>
      <w:outlineLvl w:val="3"/>
    </w:pPr>
    <w:rPr>
      <w:b/>
      <w:sz w:val="24"/>
      <w:szCs w:val="24"/>
    </w:rPr>
  </w:style>
  <w:style w:type="paragraph" w:styleId="Heading5">
    <w:name w:val="heading 5"/>
    <w:next w:val="Normal"/>
    <w:pPr>
      <w:keepNext/>
      <w:keepLines/>
      <w:widowControl w:val="0"/>
      <w:spacing w:before="220" w:after="40"/>
      <w:outlineLvl w:val="4"/>
    </w:pPr>
    <w:rPr>
      <w:b/>
      <w:sz w:val="22"/>
      <w:szCs w:val="22"/>
    </w:rPr>
  </w:style>
  <w:style w:type="paragraph" w:styleId="Heading6">
    <w:name w:val="heading 6"/>
    <w:next w:val="Normal"/>
    <w:pPr>
      <w:keepNext/>
      <w:keepLines/>
      <w:widowControl w:val="0"/>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pPr>
      <w:keepNext/>
      <w:keepLines/>
      <w:widowControl w:val="0"/>
      <w:spacing w:before="360" w:after="80"/>
    </w:pPr>
    <w:rPr>
      <w:rFonts w:ascii="Georgia" w:eastAsia="Georgia" w:hAnsi="Georgia" w:cs="Georgia"/>
      <w:i/>
      <w:color w:val="666666"/>
      <w:sz w:val="48"/>
      <w:szCs w:val="48"/>
    </w:rPr>
  </w:style>
  <w:style w:type="paragraph" w:styleId="Title">
    <w:name w:val="Title"/>
    <w:next w:val="Normal"/>
    <w:pPr>
      <w:keepNext/>
      <w:keepLines/>
      <w:widowControl w:val="0"/>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rPr>
  </w:style>
  <w:style w:type="paragraph" w:styleId="Heading1">
    <w:name w:val="heading 1"/>
    <w:next w:val="Normal"/>
    <w:pPr>
      <w:keepNext/>
      <w:keepLines/>
      <w:widowControl w:val="0"/>
      <w:spacing w:before="480" w:after="120"/>
      <w:outlineLvl w:val="0"/>
    </w:pPr>
    <w:rPr>
      <w:b/>
      <w:sz w:val="48"/>
      <w:szCs w:val="48"/>
    </w:rPr>
  </w:style>
  <w:style w:type="paragraph" w:styleId="Heading2">
    <w:name w:val="heading 2"/>
    <w:next w:val="Normal"/>
    <w:pPr>
      <w:keepNext/>
      <w:keepLines/>
      <w:widowControl w:val="0"/>
      <w:spacing w:before="360" w:after="80"/>
      <w:outlineLvl w:val="1"/>
    </w:pPr>
    <w:rPr>
      <w:b/>
      <w:sz w:val="36"/>
      <w:szCs w:val="36"/>
    </w:rPr>
  </w:style>
  <w:style w:type="paragraph" w:styleId="Heading3">
    <w:name w:val="heading 3"/>
    <w:next w:val="Normal"/>
    <w:pPr>
      <w:keepNext/>
      <w:keepLines/>
      <w:widowControl w:val="0"/>
      <w:spacing w:before="280" w:after="80"/>
      <w:outlineLvl w:val="2"/>
    </w:pPr>
    <w:rPr>
      <w:b/>
      <w:sz w:val="28"/>
      <w:szCs w:val="28"/>
    </w:rPr>
  </w:style>
  <w:style w:type="paragraph" w:styleId="Heading4">
    <w:name w:val="heading 4"/>
    <w:next w:val="Normal"/>
    <w:pPr>
      <w:keepNext/>
      <w:keepLines/>
      <w:widowControl w:val="0"/>
      <w:spacing w:before="240" w:after="40"/>
      <w:outlineLvl w:val="3"/>
    </w:pPr>
    <w:rPr>
      <w:b/>
      <w:sz w:val="24"/>
      <w:szCs w:val="24"/>
    </w:rPr>
  </w:style>
  <w:style w:type="paragraph" w:styleId="Heading5">
    <w:name w:val="heading 5"/>
    <w:next w:val="Normal"/>
    <w:pPr>
      <w:keepNext/>
      <w:keepLines/>
      <w:widowControl w:val="0"/>
      <w:spacing w:before="220" w:after="40"/>
      <w:outlineLvl w:val="4"/>
    </w:pPr>
    <w:rPr>
      <w:b/>
      <w:sz w:val="22"/>
      <w:szCs w:val="22"/>
    </w:rPr>
  </w:style>
  <w:style w:type="paragraph" w:styleId="Heading6">
    <w:name w:val="heading 6"/>
    <w:next w:val="Normal"/>
    <w:pPr>
      <w:keepNext/>
      <w:keepLines/>
      <w:widowControl w:val="0"/>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pPr>
      <w:keepNext/>
      <w:keepLines/>
      <w:widowControl w:val="0"/>
      <w:spacing w:before="360" w:after="80"/>
    </w:pPr>
    <w:rPr>
      <w:rFonts w:ascii="Georgia" w:eastAsia="Georgia" w:hAnsi="Georgia" w:cs="Georgia"/>
      <w:i/>
      <w:color w:val="666666"/>
      <w:sz w:val="48"/>
      <w:szCs w:val="48"/>
    </w:rPr>
  </w:style>
  <w:style w:type="paragraph" w:styleId="Title">
    <w:name w:val="Title"/>
    <w:next w:val="Normal"/>
    <w:pPr>
      <w:keepNext/>
      <w:keepLines/>
      <w:widowControl w:val="0"/>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qs6rb6kDiq5p4qLkufi1YRCDw==">CgMxLjA4AHIhMVRiTmRxY1ByQmdMVW96eWwzOG5SMEdtWkJPZURRQmRJ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Tran Ha Anh</cp:lastModifiedBy>
  <cp:revision>3</cp:revision>
  <dcterms:created xsi:type="dcterms:W3CDTF">2024-07-23T03:55:00Z</dcterms:created>
  <dcterms:modified xsi:type="dcterms:W3CDTF">2024-07-24T03:20:00Z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35B81AE8B94447B594CFC8F3033567FA_12</vt:lpwstr>
  </property>
  <property fmtid="{D5CDD505-2E9C-101B-9397-08002B2CF9AE}" pid="4" name="GrammarlyDocumentId">
    <vt:lpwstr>1022e2f1b6f7e290c8392e9fdf7ce2af702530ff679d3d545924833e066e97c4</vt:lpwstr>
  </property>
</Properties>
</file>