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E519F1">
        <w:rPr>
          <w:rFonts w:ascii="Arial" w:hAnsi="Arial" w:cs="Arial"/>
          <w:b/>
          <w:color w:val="010000"/>
          <w:sz w:val="20"/>
        </w:rPr>
        <w:t>TGG: Annual General Mandate 2024</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On July 19, 2024, The Golden Group Joint Stock Company announced General Mandate </w:t>
      </w:r>
      <w:r w:rsidR="00CF518B" w:rsidRPr="00E519F1">
        <w:rPr>
          <w:rFonts w:ascii="Arial" w:hAnsi="Arial" w:cs="Arial"/>
          <w:color w:val="010000"/>
          <w:sz w:val="20"/>
        </w:rPr>
        <w:t xml:space="preserve">No. </w:t>
      </w:r>
      <w:r w:rsidRPr="00E519F1">
        <w:rPr>
          <w:rFonts w:ascii="Arial" w:hAnsi="Arial" w:cs="Arial"/>
          <w:color w:val="010000"/>
          <w:sz w:val="20"/>
        </w:rPr>
        <w:t>02/2024/TGG/DHDCD-NQ as follows:</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Article 1: Approve the Report on </w:t>
      </w:r>
      <w:r w:rsidR="00CF518B" w:rsidRPr="00E519F1">
        <w:rPr>
          <w:rFonts w:ascii="Arial" w:hAnsi="Arial" w:cs="Arial"/>
          <w:color w:val="010000"/>
          <w:sz w:val="20"/>
        </w:rPr>
        <w:t xml:space="preserve">the </w:t>
      </w:r>
      <w:r w:rsidRPr="00E519F1">
        <w:rPr>
          <w:rFonts w:ascii="Arial" w:hAnsi="Arial" w:cs="Arial"/>
          <w:color w:val="010000"/>
          <w:sz w:val="20"/>
        </w:rPr>
        <w:t>results of activities in 2023 and the orientation for 2024 of the Board of Directors</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Article 2: Approve the Report 2023 of </w:t>
      </w:r>
      <w:r w:rsidR="00CF518B" w:rsidRPr="00E519F1">
        <w:rPr>
          <w:rFonts w:ascii="Arial" w:hAnsi="Arial" w:cs="Arial"/>
          <w:color w:val="010000"/>
          <w:sz w:val="20"/>
        </w:rPr>
        <w:t>Independent</w:t>
      </w:r>
      <w:r w:rsidRPr="00E519F1">
        <w:rPr>
          <w:rFonts w:ascii="Arial" w:hAnsi="Arial" w:cs="Arial"/>
          <w:color w:val="010000"/>
          <w:sz w:val="20"/>
        </w:rPr>
        <w:t xml:space="preserve"> Members of the Board of Directors</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Article 3: Approve the </w:t>
      </w:r>
      <w:r w:rsidR="00CF518B" w:rsidRPr="00E519F1">
        <w:rPr>
          <w:rFonts w:ascii="Arial" w:hAnsi="Arial" w:cs="Arial"/>
          <w:color w:val="010000"/>
          <w:sz w:val="20"/>
        </w:rPr>
        <w:t>Report on the business activities</w:t>
      </w:r>
      <w:r w:rsidRPr="00E519F1">
        <w:rPr>
          <w:rFonts w:ascii="Arial" w:hAnsi="Arial" w:cs="Arial"/>
          <w:color w:val="010000"/>
          <w:sz w:val="20"/>
        </w:rPr>
        <w:t xml:space="preserve"> of the General Manager in 2023; and the business plan for 2024</w:t>
      </w:r>
    </w:p>
    <w:p w:rsidR="00DA2327" w:rsidRPr="00937CAF" w:rsidRDefault="00CF518B" w:rsidP="00DF2ABC">
      <w:pPr>
        <w:keepNext/>
        <w:pBdr>
          <w:top w:val="nil"/>
          <w:left w:val="nil"/>
          <w:bottom w:val="nil"/>
          <w:right w:val="nil"/>
          <w:between w:val="nil"/>
        </w:pBdr>
        <w:tabs>
          <w:tab w:val="left" w:pos="432"/>
          <w:tab w:val="left" w:pos="740"/>
        </w:tabs>
        <w:spacing w:after="120" w:line="360" w:lineRule="auto"/>
        <w:jc w:val="both"/>
        <w:rPr>
          <w:rFonts w:ascii="Arial" w:eastAsia="Arial" w:hAnsi="Arial" w:cs="Arial"/>
          <w:i/>
          <w:color w:val="010000"/>
          <w:sz w:val="20"/>
          <w:szCs w:val="20"/>
        </w:rPr>
      </w:pPr>
      <w:r w:rsidRPr="00937CAF">
        <w:rPr>
          <w:rFonts w:ascii="Arial" w:hAnsi="Arial" w:cs="Arial"/>
          <w:i/>
          <w:color w:val="010000"/>
          <w:sz w:val="20"/>
        </w:rPr>
        <w:t>Business activities results</w:t>
      </w:r>
      <w:r w:rsidR="00E519F1" w:rsidRPr="00937CAF">
        <w:rPr>
          <w:rFonts w:ascii="Arial" w:hAnsi="Arial" w:cs="Arial"/>
          <w:i/>
          <w:color w:val="010000"/>
          <w:sz w:val="20"/>
        </w:rPr>
        <w:t xml:space="preserve"> 2023:</w:t>
      </w:r>
    </w:p>
    <w:p w:rsidR="00DA2327" w:rsidRPr="00937CAF" w:rsidRDefault="00E519F1" w:rsidP="00DF2ABC">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
        <w:gridCol w:w="2539"/>
        <w:gridCol w:w="2017"/>
        <w:gridCol w:w="1882"/>
        <w:gridCol w:w="1887"/>
      </w:tblGrid>
      <w:tr w:rsidR="00DA2327" w:rsidRPr="00937CAF" w:rsidTr="00CF518B">
        <w:tc>
          <w:tcPr>
            <w:tcW w:w="399" w:type="pct"/>
            <w:shd w:val="clear" w:color="auto" w:fill="auto"/>
            <w:vAlign w:val="center"/>
          </w:tcPr>
          <w:p w:rsidR="00DA2327" w:rsidRPr="00937CAF" w:rsidRDefault="00CF518B"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No.</w:t>
            </w:r>
          </w:p>
        </w:tc>
        <w:tc>
          <w:tcPr>
            <w:tcW w:w="1403"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937CAF">
              <w:rPr>
                <w:rFonts w:ascii="Arial" w:hAnsi="Arial" w:cs="Arial"/>
                <w:i/>
                <w:color w:val="010000"/>
                <w:sz w:val="20"/>
              </w:rPr>
              <w:t>Targets</w:t>
            </w:r>
          </w:p>
        </w:tc>
        <w:tc>
          <w:tcPr>
            <w:tcW w:w="1115"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Plan 2023</w:t>
            </w:r>
          </w:p>
        </w:tc>
        <w:tc>
          <w:tcPr>
            <w:tcW w:w="1040"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Results 2023</w:t>
            </w:r>
          </w:p>
        </w:tc>
        <w:tc>
          <w:tcPr>
            <w:tcW w:w="1043" w:type="pct"/>
            <w:shd w:val="clear" w:color="auto" w:fill="auto"/>
            <w:vAlign w:val="center"/>
          </w:tcPr>
          <w:p w:rsidR="00DA2327" w:rsidRPr="00937CAF" w:rsidRDefault="00CF518B"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Results/Plan</w:t>
            </w:r>
          </w:p>
        </w:tc>
      </w:tr>
      <w:tr w:rsidR="00DA2327" w:rsidRPr="00937CAF" w:rsidTr="00CF518B">
        <w:tc>
          <w:tcPr>
            <w:tcW w:w="399"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1</w:t>
            </w:r>
          </w:p>
        </w:tc>
        <w:tc>
          <w:tcPr>
            <w:tcW w:w="1403" w:type="pct"/>
            <w:shd w:val="clear" w:color="auto" w:fill="auto"/>
            <w:vAlign w:val="center"/>
          </w:tcPr>
          <w:p w:rsidR="00DA2327" w:rsidRPr="00937CAF"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937CAF">
              <w:rPr>
                <w:rFonts w:ascii="Arial" w:hAnsi="Arial" w:cs="Arial"/>
                <w:i/>
                <w:color w:val="010000"/>
                <w:sz w:val="20"/>
              </w:rPr>
              <w:t>Consolidated revenue</w:t>
            </w:r>
          </w:p>
        </w:tc>
        <w:tc>
          <w:tcPr>
            <w:tcW w:w="1115"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100,000,000,000</w:t>
            </w:r>
          </w:p>
        </w:tc>
        <w:tc>
          <w:tcPr>
            <w:tcW w:w="1040"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6,997,084,461</w:t>
            </w:r>
          </w:p>
        </w:tc>
        <w:tc>
          <w:tcPr>
            <w:tcW w:w="1043"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6.99%</w:t>
            </w:r>
          </w:p>
        </w:tc>
      </w:tr>
      <w:tr w:rsidR="00DA2327" w:rsidRPr="00937CAF" w:rsidTr="00CF518B">
        <w:tc>
          <w:tcPr>
            <w:tcW w:w="399"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2</w:t>
            </w:r>
          </w:p>
        </w:tc>
        <w:tc>
          <w:tcPr>
            <w:tcW w:w="1403" w:type="pct"/>
            <w:shd w:val="clear" w:color="auto" w:fill="auto"/>
            <w:vAlign w:val="center"/>
          </w:tcPr>
          <w:p w:rsidR="00DA2327" w:rsidRPr="00937CAF"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937CAF">
              <w:rPr>
                <w:rFonts w:ascii="Arial" w:hAnsi="Arial" w:cs="Arial"/>
                <w:i/>
                <w:color w:val="010000"/>
                <w:sz w:val="20"/>
              </w:rPr>
              <w:t>Consolidated profit after tax</w:t>
            </w:r>
          </w:p>
        </w:tc>
        <w:tc>
          <w:tcPr>
            <w:tcW w:w="1115"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8,000,000,000</w:t>
            </w:r>
          </w:p>
        </w:tc>
        <w:tc>
          <w:tcPr>
            <w:tcW w:w="1040"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(22,148,147,029)</w:t>
            </w:r>
          </w:p>
        </w:tc>
        <w:tc>
          <w:tcPr>
            <w:tcW w:w="1043"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-276.85%</w:t>
            </w:r>
          </w:p>
        </w:tc>
      </w:tr>
    </w:tbl>
    <w:p w:rsidR="00DA2327" w:rsidRPr="00937CAF" w:rsidRDefault="00E519F1" w:rsidP="00DF2ABC">
      <w:pPr>
        <w:keepNext/>
        <w:pBdr>
          <w:top w:val="nil"/>
          <w:left w:val="nil"/>
          <w:bottom w:val="nil"/>
          <w:right w:val="nil"/>
          <w:between w:val="nil"/>
        </w:pBdr>
        <w:tabs>
          <w:tab w:val="left" w:pos="432"/>
          <w:tab w:val="left" w:pos="760"/>
        </w:tabs>
        <w:spacing w:after="120" w:line="360" w:lineRule="auto"/>
        <w:jc w:val="both"/>
        <w:rPr>
          <w:rFonts w:ascii="Arial" w:eastAsia="Arial" w:hAnsi="Arial" w:cs="Arial"/>
          <w:i/>
          <w:color w:val="010000"/>
          <w:sz w:val="20"/>
          <w:szCs w:val="20"/>
        </w:rPr>
      </w:pPr>
      <w:r w:rsidRPr="00937CAF">
        <w:rPr>
          <w:rFonts w:ascii="Arial" w:hAnsi="Arial" w:cs="Arial"/>
          <w:i/>
          <w:color w:val="010000"/>
          <w:sz w:val="20"/>
        </w:rPr>
        <w:t>Financial plan and business plan</w:t>
      </w:r>
    </w:p>
    <w:p w:rsidR="00DA2327" w:rsidRPr="00937CAF" w:rsidRDefault="00E519F1" w:rsidP="00DF2ABC">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7"/>
        <w:gridCol w:w="2723"/>
        <w:gridCol w:w="1799"/>
        <w:gridCol w:w="1940"/>
        <w:gridCol w:w="1918"/>
      </w:tblGrid>
      <w:tr w:rsidR="00DA2327" w:rsidRPr="00937CAF" w:rsidTr="00CF518B">
        <w:tc>
          <w:tcPr>
            <w:tcW w:w="369" w:type="pct"/>
            <w:shd w:val="clear" w:color="auto" w:fill="auto"/>
            <w:vAlign w:val="center"/>
          </w:tcPr>
          <w:p w:rsidR="00DA2327" w:rsidRPr="00937CAF" w:rsidRDefault="00CF518B"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No.</w:t>
            </w:r>
          </w:p>
        </w:tc>
        <w:tc>
          <w:tcPr>
            <w:tcW w:w="1505"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Targets</w:t>
            </w:r>
          </w:p>
        </w:tc>
        <w:tc>
          <w:tcPr>
            <w:tcW w:w="994"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Plan 2023</w:t>
            </w:r>
          </w:p>
        </w:tc>
        <w:tc>
          <w:tcPr>
            <w:tcW w:w="1072"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Plan 2024</w:t>
            </w:r>
          </w:p>
        </w:tc>
        <w:tc>
          <w:tcPr>
            <w:tcW w:w="1061"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Difference (%)</w:t>
            </w:r>
          </w:p>
        </w:tc>
      </w:tr>
      <w:tr w:rsidR="00DA2327" w:rsidRPr="00937CAF" w:rsidTr="00CF518B">
        <w:tc>
          <w:tcPr>
            <w:tcW w:w="369"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1</w:t>
            </w:r>
          </w:p>
        </w:tc>
        <w:tc>
          <w:tcPr>
            <w:tcW w:w="1505" w:type="pct"/>
            <w:shd w:val="clear" w:color="auto" w:fill="auto"/>
            <w:vAlign w:val="center"/>
          </w:tcPr>
          <w:p w:rsidR="00DA2327" w:rsidRPr="00937CAF"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937CAF">
              <w:rPr>
                <w:rFonts w:ascii="Arial" w:hAnsi="Arial" w:cs="Arial"/>
                <w:i/>
                <w:color w:val="010000"/>
                <w:sz w:val="20"/>
              </w:rPr>
              <w:t>Charter capital</w:t>
            </w:r>
          </w:p>
        </w:tc>
        <w:tc>
          <w:tcPr>
            <w:tcW w:w="994"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272,900,000,000</w:t>
            </w:r>
          </w:p>
        </w:tc>
        <w:tc>
          <w:tcPr>
            <w:tcW w:w="1072"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272,900,000,000</w:t>
            </w:r>
          </w:p>
        </w:tc>
        <w:tc>
          <w:tcPr>
            <w:tcW w:w="1061"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0%</w:t>
            </w:r>
          </w:p>
        </w:tc>
      </w:tr>
      <w:tr w:rsidR="00DA2327" w:rsidRPr="00937CAF" w:rsidTr="00CF518B">
        <w:tc>
          <w:tcPr>
            <w:tcW w:w="369"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2</w:t>
            </w:r>
          </w:p>
        </w:tc>
        <w:tc>
          <w:tcPr>
            <w:tcW w:w="1505" w:type="pct"/>
            <w:shd w:val="clear" w:color="auto" w:fill="auto"/>
            <w:vAlign w:val="center"/>
          </w:tcPr>
          <w:p w:rsidR="00DA2327" w:rsidRPr="00937CAF"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937CAF">
              <w:rPr>
                <w:rFonts w:ascii="Arial" w:hAnsi="Arial" w:cs="Arial"/>
                <w:i/>
                <w:color w:val="010000"/>
                <w:sz w:val="20"/>
              </w:rPr>
              <w:t>Net revenue</w:t>
            </w:r>
          </w:p>
        </w:tc>
        <w:tc>
          <w:tcPr>
            <w:tcW w:w="994"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100,000,000,000</w:t>
            </w:r>
          </w:p>
        </w:tc>
        <w:tc>
          <w:tcPr>
            <w:tcW w:w="1072"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480,000,000,000</w:t>
            </w:r>
          </w:p>
        </w:tc>
        <w:tc>
          <w:tcPr>
            <w:tcW w:w="1061"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79%</w:t>
            </w:r>
          </w:p>
        </w:tc>
      </w:tr>
      <w:tr w:rsidR="00DA2327" w:rsidRPr="00937CAF" w:rsidTr="00CF518B">
        <w:tc>
          <w:tcPr>
            <w:tcW w:w="369"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3</w:t>
            </w:r>
          </w:p>
        </w:tc>
        <w:tc>
          <w:tcPr>
            <w:tcW w:w="1505" w:type="pct"/>
            <w:shd w:val="clear" w:color="auto" w:fill="auto"/>
            <w:vAlign w:val="center"/>
          </w:tcPr>
          <w:p w:rsidR="00DA2327" w:rsidRPr="00937CAF"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937CAF">
              <w:rPr>
                <w:rFonts w:ascii="Arial" w:hAnsi="Arial" w:cs="Arial"/>
                <w:i/>
                <w:color w:val="010000"/>
                <w:sz w:val="20"/>
              </w:rPr>
              <w:t>Profit after tax</w:t>
            </w:r>
          </w:p>
        </w:tc>
        <w:tc>
          <w:tcPr>
            <w:tcW w:w="994"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8,000,000,000</w:t>
            </w:r>
          </w:p>
        </w:tc>
        <w:tc>
          <w:tcPr>
            <w:tcW w:w="1072"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3,000,000,000</w:t>
            </w:r>
          </w:p>
        </w:tc>
        <w:tc>
          <w:tcPr>
            <w:tcW w:w="1061"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-167%</w:t>
            </w:r>
          </w:p>
        </w:tc>
      </w:tr>
      <w:tr w:rsidR="00DA2327" w:rsidRPr="00937CAF" w:rsidTr="00CF518B">
        <w:tc>
          <w:tcPr>
            <w:tcW w:w="369"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center"/>
              <w:rPr>
                <w:rFonts w:ascii="Arial" w:eastAsia="Arial" w:hAnsi="Arial" w:cs="Arial"/>
                <w:i/>
                <w:color w:val="010000"/>
                <w:sz w:val="20"/>
                <w:szCs w:val="20"/>
              </w:rPr>
            </w:pPr>
            <w:r w:rsidRPr="00937CAF">
              <w:rPr>
                <w:rFonts w:ascii="Arial" w:hAnsi="Arial" w:cs="Arial"/>
                <w:i/>
                <w:color w:val="010000"/>
                <w:sz w:val="20"/>
              </w:rPr>
              <w:t>4</w:t>
            </w:r>
          </w:p>
        </w:tc>
        <w:tc>
          <w:tcPr>
            <w:tcW w:w="1505" w:type="pct"/>
            <w:shd w:val="clear" w:color="auto" w:fill="auto"/>
            <w:vAlign w:val="center"/>
          </w:tcPr>
          <w:p w:rsidR="00DA2327" w:rsidRPr="00937CAF"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937CAF">
              <w:rPr>
                <w:rFonts w:ascii="Arial" w:hAnsi="Arial" w:cs="Arial"/>
                <w:i/>
                <w:color w:val="010000"/>
                <w:sz w:val="20"/>
              </w:rPr>
              <w:t>Dividend rate</w:t>
            </w:r>
          </w:p>
        </w:tc>
        <w:tc>
          <w:tcPr>
            <w:tcW w:w="994"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0</w:t>
            </w:r>
          </w:p>
        </w:tc>
        <w:tc>
          <w:tcPr>
            <w:tcW w:w="1072"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0</w:t>
            </w:r>
          </w:p>
        </w:tc>
        <w:tc>
          <w:tcPr>
            <w:tcW w:w="1061" w:type="pct"/>
            <w:shd w:val="clear" w:color="auto" w:fill="auto"/>
            <w:vAlign w:val="center"/>
          </w:tcPr>
          <w:p w:rsidR="00DA2327" w:rsidRPr="00937CAF" w:rsidRDefault="00E519F1" w:rsidP="00937CA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37CAF">
              <w:rPr>
                <w:rFonts w:ascii="Arial" w:hAnsi="Arial" w:cs="Arial"/>
                <w:i/>
                <w:color w:val="010000"/>
                <w:sz w:val="20"/>
              </w:rPr>
              <w:t>0%</w:t>
            </w:r>
          </w:p>
        </w:tc>
      </w:tr>
    </w:tbl>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Article 4: Approve the Report 2023 of the Supervisory Board and the operational plan for 2024</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Article 5: Approve the dismissal and election of additional members </w:t>
      </w:r>
      <w:r w:rsidR="00CF518B" w:rsidRPr="00E519F1">
        <w:rPr>
          <w:rFonts w:ascii="Arial" w:hAnsi="Arial" w:cs="Arial"/>
          <w:color w:val="010000"/>
          <w:sz w:val="20"/>
        </w:rPr>
        <w:t>for</w:t>
      </w:r>
      <w:r w:rsidRPr="00E519F1">
        <w:rPr>
          <w:rFonts w:ascii="Arial" w:hAnsi="Arial" w:cs="Arial"/>
          <w:color w:val="010000"/>
          <w:sz w:val="20"/>
        </w:rPr>
        <w:t xml:space="preserve"> the Board of Directors in the term of 2021 - 2025:</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Approve the dismissal of Mr. Vu Anh </w:t>
      </w:r>
      <w:proofErr w:type="spellStart"/>
      <w:r w:rsidRPr="00E519F1">
        <w:rPr>
          <w:rFonts w:ascii="Arial" w:hAnsi="Arial" w:cs="Arial"/>
          <w:color w:val="010000"/>
          <w:sz w:val="20"/>
        </w:rPr>
        <w:t>Sinh</w:t>
      </w:r>
      <w:proofErr w:type="spellEnd"/>
      <w:r w:rsidRPr="00E519F1">
        <w:rPr>
          <w:rFonts w:ascii="Arial" w:hAnsi="Arial" w:cs="Arial"/>
          <w:color w:val="010000"/>
          <w:sz w:val="20"/>
        </w:rPr>
        <w:t xml:space="preserve"> from the position of Member of the Board of Directors of the Company in the term of 2021 - 2025;</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Thus, the list of the Company's Board of Directors in the term of 2021 - 2025 is: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2"/>
        <w:gridCol w:w="3603"/>
        <w:gridCol w:w="4372"/>
      </w:tblGrid>
      <w:tr w:rsidR="00DA2327" w:rsidRPr="00E519F1" w:rsidTr="00CF518B">
        <w:tc>
          <w:tcPr>
            <w:tcW w:w="593" w:type="pct"/>
            <w:shd w:val="clear" w:color="auto" w:fill="auto"/>
            <w:vAlign w:val="center"/>
          </w:tcPr>
          <w:p w:rsidR="00DA2327" w:rsidRPr="00E519F1" w:rsidRDefault="00CF518B"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 xml:space="preserve">No. </w:t>
            </w:r>
          </w:p>
        </w:tc>
        <w:tc>
          <w:tcPr>
            <w:tcW w:w="1991"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Full name</w:t>
            </w:r>
          </w:p>
        </w:tc>
        <w:tc>
          <w:tcPr>
            <w:tcW w:w="2416"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Position</w:t>
            </w:r>
          </w:p>
        </w:tc>
      </w:tr>
      <w:tr w:rsidR="00DA2327" w:rsidRPr="00E519F1" w:rsidTr="00CF518B">
        <w:tc>
          <w:tcPr>
            <w:tcW w:w="593"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1</w:t>
            </w:r>
          </w:p>
        </w:tc>
        <w:tc>
          <w:tcPr>
            <w:tcW w:w="1991"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Ngo Quang Tuan</w:t>
            </w:r>
          </w:p>
        </w:tc>
        <w:tc>
          <w:tcPr>
            <w:tcW w:w="2416" w:type="pct"/>
            <w:shd w:val="clear" w:color="auto" w:fill="auto"/>
            <w:vAlign w:val="center"/>
          </w:tcPr>
          <w:p w:rsidR="00DA2327" w:rsidRPr="00E519F1" w:rsidRDefault="00CF518B"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 xml:space="preserve">The </w:t>
            </w:r>
            <w:r w:rsidR="00E519F1" w:rsidRPr="00E519F1">
              <w:rPr>
                <w:rFonts w:ascii="Arial" w:hAnsi="Arial" w:cs="Arial"/>
                <w:color w:val="010000"/>
                <w:sz w:val="20"/>
              </w:rPr>
              <w:t>Chair of the Board of Directors</w:t>
            </w:r>
          </w:p>
        </w:tc>
      </w:tr>
      <w:tr w:rsidR="00DA2327" w:rsidRPr="00E519F1" w:rsidTr="00CF518B">
        <w:tc>
          <w:tcPr>
            <w:tcW w:w="593"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2</w:t>
            </w:r>
          </w:p>
        </w:tc>
        <w:tc>
          <w:tcPr>
            <w:tcW w:w="1991"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 xml:space="preserve">Ly Thanh </w:t>
            </w:r>
            <w:proofErr w:type="spellStart"/>
            <w:r w:rsidRPr="00E519F1">
              <w:rPr>
                <w:rFonts w:ascii="Arial" w:hAnsi="Arial" w:cs="Arial"/>
                <w:color w:val="010000"/>
                <w:sz w:val="20"/>
              </w:rPr>
              <w:t>Nha</w:t>
            </w:r>
            <w:proofErr w:type="spellEnd"/>
          </w:p>
        </w:tc>
        <w:tc>
          <w:tcPr>
            <w:tcW w:w="2416"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Member of the Board of Directors</w:t>
            </w:r>
          </w:p>
        </w:tc>
      </w:tr>
      <w:tr w:rsidR="00DA2327" w:rsidRPr="00E519F1" w:rsidTr="00CF518B">
        <w:tc>
          <w:tcPr>
            <w:tcW w:w="593"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3</w:t>
            </w:r>
          </w:p>
        </w:tc>
        <w:tc>
          <w:tcPr>
            <w:tcW w:w="1991"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Nguyen Quoc Dung</w:t>
            </w:r>
          </w:p>
        </w:tc>
        <w:tc>
          <w:tcPr>
            <w:tcW w:w="2416"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Independent member of the Board of Directors</w:t>
            </w:r>
          </w:p>
        </w:tc>
      </w:tr>
      <w:tr w:rsidR="00DA2327" w:rsidRPr="00E519F1" w:rsidTr="00CF518B">
        <w:tc>
          <w:tcPr>
            <w:tcW w:w="593"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lastRenderedPageBreak/>
              <w:t>4</w:t>
            </w:r>
          </w:p>
        </w:tc>
        <w:tc>
          <w:tcPr>
            <w:tcW w:w="1991"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Vo Kim Nguyen</w:t>
            </w:r>
          </w:p>
        </w:tc>
        <w:tc>
          <w:tcPr>
            <w:tcW w:w="2416" w:type="pct"/>
            <w:shd w:val="clear" w:color="auto" w:fill="auto"/>
            <w:vAlign w:val="center"/>
          </w:tcPr>
          <w:p w:rsidR="00DA2327" w:rsidRPr="00E519F1" w:rsidRDefault="00E519F1" w:rsidP="00CF51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19F1">
              <w:rPr>
                <w:rFonts w:ascii="Arial" w:hAnsi="Arial" w:cs="Arial"/>
                <w:color w:val="010000"/>
                <w:sz w:val="20"/>
              </w:rPr>
              <w:t>Member of the Board of Directors</w:t>
            </w:r>
          </w:p>
        </w:tc>
      </w:tr>
    </w:tbl>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Article 6: Approve the Proposal on </w:t>
      </w:r>
      <w:r w:rsidR="00CF518B" w:rsidRPr="00E519F1">
        <w:rPr>
          <w:rFonts w:ascii="Arial" w:hAnsi="Arial" w:cs="Arial"/>
          <w:color w:val="010000"/>
          <w:sz w:val="20"/>
        </w:rPr>
        <w:t>Remuneration</w:t>
      </w:r>
      <w:r w:rsidRPr="00E519F1">
        <w:rPr>
          <w:rFonts w:ascii="Arial" w:hAnsi="Arial" w:cs="Arial"/>
          <w:color w:val="010000"/>
          <w:sz w:val="20"/>
        </w:rPr>
        <w:t xml:space="preserve"> for the Board of Directors and the Supervisory Board in 2024</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Article 7: Approve the Proposal on approving the Audited Financial Statements 2022 and the Re-audited Financial Statements 2021</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Article 8: Approve the following list of 4 independent audit companies and authorize the Board of Directors to select a company to audit the Financial Statements 2024 of the Company:</w:t>
      </w:r>
    </w:p>
    <w:p w:rsidR="00DA2327" w:rsidRPr="00E519F1" w:rsidRDefault="00E519F1" w:rsidP="00DF2ABC">
      <w:pPr>
        <w:numPr>
          <w:ilvl w:val="0"/>
          <w:numId w:val="2"/>
        </w:numPr>
        <w:pBdr>
          <w:top w:val="nil"/>
          <w:left w:val="nil"/>
          <w:bottom w:val="nil"/>
          <w:right w:val="nil"/>
          <w:between w:val="nil"/>
        </w:pBdr>
        <w:tabs>
          <w:tab w:val="left" w:pos="432"/>
          <w:tab w:val="left" w:pos="740"/>
        </w:tabs>
        <w:spacing w:after="120" w:line="360" w:lineRule="auto"/>
        <w:ind w:left="0" w:firstLine="0"/>
        <w:jc w:val="both"/>
        <w:rPr>
          <w:rFonts w:ascii="Arial" w:eastAsia="Arial" w:hAnsi="Arial" w:cs="Arial"/>
          <w:color w:val="010000"/>
          <w:sz w:val="20"/>
          <w:szCs w:val="20"/>
        </w:rPr>
      </w:pPr>
      <w:r w:rsidRPr="00E519F1">
        <w:rPr>
          <w:rFonts w:ascii="Arial" w:hAnsi="Arial" w:cs="Arial"/>
          <w:color w:val="010000"/>
          <w:sz w:val="20"/>
        </w:rPr>
        <w:t>AASC Auditing Firm Company Limited (AASC);</w:t>
      </w:r>
    </w:p>
    <w:p w:rsidR="00DA2327" w:rsidRPr="00E519F1" w:rsidRDefault="00E519F1" w:rsidP="00DF2ABC">
      <w:pPr>
        <w:numPr>
          <w:ilvl w:val="0"/>
          <w:numId w:val="2"/>
        </w:numPr>
        <w:pBdr>
          <w:top w:val="nil"/>
          <w:left w:val="nil"/>
          <w:bottom w:val="nil"/>
          <w:right w:val="nil"/>
          <w:between w:val="nil"/>
        </w:pBdr>
        <w:tabs>
          <w:tab w:val="left" w:pos="432"/>
          <w:tab w:val="left" w:pos="9920"/>
        </w:tabs>
        <w:spacing w:after="120" w:line="360" w:lineRule="auto"/>
        <w:ind w:left="0" w:firstLine="0"/>
        <w:jc w:val="both"/>
        <w:rPr>
          <w:rFonts w:ascii="Arial" w:eastAsia="Arial" w:hAnsi="Arial" w:cs="Arial"/>
          <w:color w:val="010000"/>
          <w:sz w:val="20"/>
          <w:szCs w:val="20"/>
        </w:rPr>
      </w:pPr>
      <w:r w:rsidRPr="00E519F1">
        <w:rPr>
          <w:rFonts w:ascii="Arial" w:hAnsi="Arial" w:cs="Arial"/>
          <w:color w:val="010000"/>
          <w:sz w:val="20"/>
        </w:rPr>
        <w:t xml:space="preserve">Moore AISC Auditing and Informatics Services Company Limited; </w:t>
      </w:r>
    </w:p>
    <w:p w:rsidR="00DA2327" w:rsidRPr="00E519F1" w:rsidRDefault="00E519F1" w:rsidP="00DF2ABC">
      <w:pPr>
        <w:numPr>
          <w:ilvl w:val="0"/>
          <w:numId w:val="2"/>
        </w:numPr>
        <w:pBdr>
          <w:top w:val="nil"/>
          <w:left w:val="nil"/>
          <w:bottom w:val="nil"/>
          <w:right w:val="nil"/>
          <w:between w:val="nil"/>
        </w:pBdr>
        <w:tabs>
          <w:tab w:val="left" w:pos="432"/>
          <w:tab w:val="left" w:pos="9920"/>
        </w:tabs>
        <w:spacing w:after="120" w:line="360" w:lineRule="auto"/>
        <w:ind w:left="0" w:firstLine="0"/>
        <w:jc w:val="both"/>
        <w:rPr>
          <w:rFonts w:ascii="Arial" w:eastAsia="Arial" w:hAnsi="Arial" w:cs="Arial"/>
          <w:color w:val="010000"/>
          <w:sz w:val="20"/>
          <w:szCs w:val="20"/>
        </w:rPr>
      </w:pPr>
      <w:r w:rsidRPr="00E519F1">
        <w:rPr>
          <w:rFonts w:ascii="Arial" w:hAnsi="Arial" w:cs="Arial"/>
          <w:color w:val="010000"/>
          <w:sz w:val="20"/>
        </w:rPr>
        <w:t xml:space="preserve">AFC Vietnam Auditing Company Limited; </w:t>
      </w:r>
    </w:p>
    <w:p w:rsidR="00DA2327" w:rsidRPr="00E519F1" w:rsidRDefault="00E519F1" w:rsidP="00DF2ABC">
      <w:pPr>
        <w:numPr>
          <w:ilvl w:val="0"/>
          <w:numId w:val="2"/>
        </w:numPr>
        <w:pBdr>
          <w:top w:val="nil"/>
          <w:left w:val="nil"/>
          <w:bottom w:val="nil"/>
          <w:right w:val="nil"/>
          <w:between w:val="nil"/>
        </w:pBdr>
        <w:tabs>
          <w:tab w:val="left" w:pos="432"/>
          <w:tab w:val="left" w:pos="740"/>
        </w:tabs>
        <w:spacing w:after="120" w:line="360" w:lineRule="auto"/>
        <w:ind w:left="0" w:firstLine="0"/>
        <w:jc w:val="both"/>
        <w:rPr>
          <w:rFonts w:ascii="Arial" w:eastAsia="Arial" w:hAnsi="Arial" w:cs="Arial"/>
          <w:color w:val="010000"/>
          <w:sz w:val="20"/>
          <w:szCs w:val="20"/>
        </w:rPr>
      </w:pPr>
      <w:r w:rsidRPr="00E519F1">
        <w:rPr>
          <w:rFonts w:ascii="Arial" w:hAnsi="Arial" w:cs="Arial"/>
          <w:color w:val="010000"/>
          <w:sz w:val="20"/>
        </w:rPr>
        <w:t>UHY Auditing &amp; Consulting Company Limited</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Article 9: Approve the Pro</w:t>
      </w:r>
      <w:r w:rsidR="00CF518B" w:rsidRPr="00E519F1">
        <w:rPr>
          <w:rFonts w:ascii="Arial" w:hAnsi="Arial" w:cs="Arial"/>
          <w:color w:val="010000"/>
          <w:sz w:val="20"/>
        </w:rPr>
        <w:t xml:space="preserve">posal on approving the plan on </w:t>
      </w:r>
      <w:r w:rsidRPr="00E519F1">
        <w:rPr>
          <w:rFonts w:ascii="Arial" w:hAnsi="Arial" w:cs="Arial"/>
          <w:color w:val="010000"/>
          <w:sz w:val="20"/>
        </w:rPr>
        <w:t>private placement</w:t>
      </w:r>
    </w:p>
    <w:p w:rsidR="00DA2327" w:rsidRPr="00E268C4" w:rsidRDefault="00E519F1" w:rsidP="00DF2ABC">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bookmarkStart w:id="0" w:name="_GoBack"/>
      <w:bookmarkEnd w:id="0"/>
      <w:r w:rsidRPr="00E268C4">
        <w:rPr>
          <w:rFonts w:ascii="Arial" w:hAnsi="Arial" w:cs="Arial"/>
          <w:i/>
          <w:color w:val="010000"/>
          <w:sz w:val="20"/>
        </w:rPr>
        <w:t>Issuance plan</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8"/>
        <w:gridCol w:w="6049"/>
      </w:tblGrid>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Name of Issuer</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Golden Group Joint Stock Company</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Share name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Shares of The Golden Group Joint Stock Company</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Par value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VND10,000/share</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Type of issued shares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Common shares</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Securities code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TGG</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Number of outstanding shares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27,299,990 shares</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Number of treasury shares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0 share</w:t>
            </w:r>
            <w:r w:rsidR="00CF518B" w:rsidRPr="00E268C4">
              <w:rPr>
                <w:rFonts w:ascii="Arial" w:hAnsi="Arial" w:cs="Arial"/>
                <w:i/>
                <w:color w:val="010000"/>
                <w:sz w:val="20"/>
              </w:rPr>
              <w:t>s</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Charter capital before the issuance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VND272</w:t>
            </w:r>
            <w:proofErr w:type="gramStart"/>
            <w:r w:rsidRPr="00E268C4">
              <w:rPr>
                <w:rFonts w:ascii="Arial" w:hAnsi="Arial" w:cs="Arial"/>
                <w:i/>
                <w:color w:val="010000"/>
                <w:sz w:val="20"/>
              </w:rPr>
              <w:t>,999,900,000</w:t>
            </w:r>
            <w:proofErr w:type="gramEnd"/>
            <w:r w:rsidRPr="00E268C4">
              <w:rPr>
                <w:rFonts w:ascii="Arial" w:hAnsi="Arial" w:cs="Arial"/>
                <w:i/>
                <w:color w:val="010000"/>
                <w:sz w:val="20"/>
              </w:rPr>
              <w:t>.</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Number of offered shares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6,000,000 shares.</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Total value of shares expected to be offered at par value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VND60</w:t>
            </w:r>
            <w:proofErr w:type="gramStart"/>
            <w:r w:rsidRPr="00E268C4">
              <w:rPr>
                <w:rFonts w:ascii="Arial" w:hAnsi="Arial" w:cs="Arial"/>
                <w:i/>
                <w:color w:val="010000"/>
                <w:sz w:val="20"/>
              </w:rPr>
              <w:t>,000,000,000</w:t>
            </w:r>
            <w:proofErr w:type="gramEnd"/>
            <w:r w:rsidRPr="00E268C4">
              <w:rPr>
                <w:rFonts w:ascii="Arial" w:hAnsi="Arial" w:cs="Arial"/>
                <w:i/>
                <w:color w:val="010000"/>
                <w:sz w:val="20"/>
              </w:rPr>
              <w:t>.</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Charter capital after the issuance (expected)</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VND332</w:t>
            </w:r>
            <w:proofErr w:type="gramStart"/>
            <w:r w:rsidRPr="00E268C4">
              <w:rPr>
                <w:rFonts w:ascii="Arial" w:hAnsi="Arial" w:cs="Arial"/>
                <w:i/>
                <w:color w:val="010000"/>
                <w:sz w:val="20"/>
              </w:rPr>
              <w:t>,999,900,000</w:t>
            </w:r>
            <w:proofErr w:type="gramEnd"/>
            <w:r w:rsidRPr="00E268C4">
              <w:rPr>
                <w:rFonts w:ascii="Arial" w:hAnsi="Arial" w:cs="Arial"/>
                <w:i/>
                <w:color w:val="010000"/>
                <w:sz w:val="20"/>
              </w:rPr>
              <w:t>.</w:t>
            </w:r>
          </w:p>
        </w:tc>
      </w:tr>
      <w:tr w:rsidR="00DA2327" w:rsidRPr="00E268C4" w:rsidTr="00CF518B">
        <w:tc>
          <w:tcPr>
            <w:tcW w:w="1657" w:type="pct"/>
            <w:shd w:val="clear" w:color="auto" w:fill="auto"/>
            <w:vAlign w:val="center"/>
          </w:tcPr>
          <w:p w:rsidR="00DA2327" w:rsidRPr="00E268C4" w:rsidRDefault="00CF518B"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Number of o</w:t>
            </w:r>
            <w:r w:rsidR="00E519F1" w:rsidRPr="00E268C4">
              <w:rPr>
                <w:rFonts w:ascii="Arial" w:hAnsi="Arial" w:cs="Arial"/>
                <w:i/>
                <w:color w:val="010000"/>
                <w:sz w:val="20"/>
              </w:rPr>
              <w:t>ffered shares/total number of outstanding shares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21.9780%</w:t>
            </w:r>
          </w:p>
        </w:tc>
      </w:tr>
      <w:tr w:rsidR="00DA2327" w:rsidRPr="00E268C4" w:rsidTr="00CF518B">
        <w:tc>
          <w:tcPr>
            <w:tcW w:w="1657" w:type="pct"/>
            <w:shd w:val="clear" w:color="auto" w:fill="auto"/>
            <w:vAlign w:val="center"/>
          </w:tcPr>
          <w:p w:rsidR="00DA2327" w:rsidRPr="00E268C4" w:rsidRDefault="00E519F1" w:rsidP="00DF2AB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lastRenderedPageBreak/>
              <w:t xml:space="preserve"> Offering price</w:t>
            </w:r>
          </w:p>
        </w:tc>
        <w:tc>
          <w:tcPr>
            <w:tcW w:w="3343" w:type="pct"/>
            <w:shd w:val="clear" w:color="auto" w:fill="auto"/>
            <w:vAlign w:val="center"/>
          </w:tcPr>
          <w:p w:rsidR="00DA2327" w:rsidRPr="00E268C4" w:rsidRDefault="00E519F1" w:rsidP="00DF2ABC">
            <w:pPr>
              <w:numPr>
                <w:ilvl w:val="0"/>
                <w:numId w:val="1"/>
              </w:numPr>
              <w:pBdr>
                <w:top w:val="nil"/>
                <w:left w:val="nil"/>
                <w:bottom w:val="nil"/>
                <w:right w:val="nil"/>
                <w:between w:val="nil"/>
              </w:pBdr>
              <w:tabs>
                <w:tab w:val="left" w:pos="180"/>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average stock price of TGG shares in the last 30 trading sessions (as of September 15, 2023</w:t>
            </w:r>
            <w:r w:rsidR="00CF518B" w:rsidRPr="00E268C4">
              <w:rPr>
                <w:rFonts w:ascii="Arial" w:hAnsi="Arial" w:cs="Arial"/>
                <w:i/>
                <w:color w:val="010000"/>
                <w:sz w:val="20"/>
              </w:rPr>
              <w:t>,</w:t>
            </w:r>
            <w:r w:rsidRPr="00E268C4">
              <w:rPr>
                <w:rFonts w:ascii="Arial" w:hAnsi="Arial" w:cs="Arial"/>
                <w:i/>
                <w:color w:val="010000"/>
                <w:sz w:val="20"/>
              </w:rPr>
              <w:t xml:space="preserve"> because after September 15, 2023, the Company's shares were suspended from trading) is: VND3</w:t>
            </w:r>
            <w:proofErr w:type="gramStart"/>
            <w:r w:rsidRPr="00E268C4">
              <w:rPr>
                <w:rFonts w:ascii="Arial" w:hAnsi="Arial" w:cs="Arial"/>
                <w:i/>
                <w:color w:val="010000"/>
                <w:sz w:val="20"/>
              </w:rPr>
              <w:t>,404</w:t>
            </w:r>
            <w:proofErr w:type="gramEnd"/>
            <w:r w:rsidRPr="00E268C4">
              <w:rPr>
                <w:rFonts w:ascii="Arial" w:hAnsi="Arial" w:cs="Arial"/>
                <w:i/>
                <w:color w:val="010000"/>
                <w:sz w:val="20"/>
              </w:rPr>
              <w:t>/share.</w:t>
            </w:r>
          </w:p>
          <w:p w:rsidR="00DA2327" w:rsidRPr="00E268C4" w:rsidRDefault="00E519F1" w:rsidP="00DF2ABC">
            <w:pPr>
              <w:numPr>
                <w:ilvl w:val="0"/>
                <w:numId w:val="1"/>
              </w:numPr>
              <w:pBdr>
                <w:top w:val="nil"/>
                <w:left w:val="nil"/>
                <w:bottom w:val="nil"/>
                <w:right w:val="nil"/>
                <w:between w:val="nil"/>
              </w:pBdr>
              <w:tabs>
                <w:tab w:val="left" w:pos="185"/>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According to the Audited Consolidated Financial Statements 2022, the Company's book value per share is: VND3</w:t>
            </w:r>
            <w:proofErr w:type="gramStart"/>
            <w:r w:rsidRPr="00E268C4">
              <w:rPr>
                <w:rFonts w:ascii="Arial" w:hAnsi="Arial" w:cs="Arial"/>
                <w:i/>
                <w:color w:val="010000"/>
                <w:sz w:val="20"/>
              </w:rPr>
              <w:t>,600</w:t>
            </w:r>
            <w:proofErr w:type="gramEnd"/>
            <w:r w:rsidRPr="00E268C4">
              <w:rPr>
                <w:rFonts w:ascii="Arial" w:hAnsi="Arial" w:cs="Arial"/>
                <w:i/>
                <w:color w:val="010000"/>
                <w:sz w:val="20"/>
              </w:rPr>
              <w:t>/share.</w:t>
            </w:r>
          </w:p>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Thus, the share offering price is VND10</w:t>
            </w:r>
            <w:proofErr w:type="gramStart"/>
            <w:r w:rsidRPr="00E268C4">
              <w:rPr>
                <w:rFonts w:ascii="Arial" w:hAnsi="Arial" w:cs="Arial"/>
                <w:i/>
                <w:color w:val="010000"/>
                <w:sz w:val="20"/>
              </w:rPr>
              <w:t>,000</w:t>
            </w:r>
            <w:proofErr w:type="gramEnd"/>
            <w:r w:rsidRPr="00E268C4">
              <w:rPr>
                <w:rFonts w:ascii="Arial" w:hAnsi="Arial" w:cs="Arial"/>
                <w:i/>
                <w:color w:val="010000"/>
                <w:sz w:val="20"/>
              </w:rPr>
              <w:t>/share.</w:t>
            </w:r>
          </w:p>
        </w:tc>
      </w:tr>
      <w:tr w:rsidR="00DA2327" w:rsidRPr="00E268C4" w:rsidTr="00CF518B">
        <w:tc>
          <w:tcPr>
            <w:tcW w:w="1657" w:type="pct"/>
            <w:shd w:val="clear" w:color="auto" w:fill="auto"/>
            <w:vAlign w:val="center"/>
          </w:tcPr>
          <w:p w:rsidR="00DA2327" w:rsidRPr="00E268C4" w:rsidRDefault="00E519F1" w:rsidP="00DF2ABC">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Total value of shares expected to be offered at </w:t>
            </w:r>
            <w:r w:rsidR="00CF518B" w:rsidRPr="00E268C4">
              <w:rPr>
                <w:rFonts w:ascii="Arial" w:hAnsi="Arial" w:cs="Arial"/>
                <w:i/>
                <w:color w:val="010000"/>
                <w:sz w:val="20"/>
              </w:rPr>
              <w:t xml:space="preserve">the </w:t>
            </w:r>
            <w:r w:rsidRPr="00E268C4">
              <w:rPr>
                <w:rFonts w:ascii="Arial" w:hAnsi="Arial" w:cs="Arial"/>
                <w:i/>
                <w:color w:val="010000"/>
                <w:sz w:val="20"/>
              </w:rPr>
              <w:t>offering price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bookmarkStart w:id="1" w:name="_heading=h.gjdgxs"/>
            <w:bookmarkEnd w:id="1"/>
            <w:r w:rsidRPr="00E268C4">
              <w:rPr>
                <w:rFonts w:ascii="Arial" w:hAnsi="Arial" w:cs="Arial"/>
                <w:i/>
                <w:color w:val="010000"/>
                <w:sz w:val="20"/>
              </w:rPr>
              <w:t>VND60</w:t>
            </w:r>
            <w:proofErr w:type="gramStart"/>
            <w:r w:rsidRPr="00E268C4">
              <w:rPr>
                <w:rFonts w:ascii="Arial" w:hAnsi="Arial" w:cs="Arial"/>
                <w:i/>
                <w:color w:val="010000"/>
                <w:sz w:val="20"/>
              </w:rPr>
              <w:t>,000,000,000</w:t>
            </w:r>
            <w:proofErr w:type="gramEnd"/>
            <w:r w:rsidRPr="00E268C4">
              <w:rPr>
                <w:rFonts w:ascii="Arial" w:hAnsi="Arial" w:cs="Arial"/>
                <w:i/>
                <w:color w:val="010000"/>
                <w:sz w:val="20"/>
              </w:rPr>
              <w:t>.</w:t>
            </w:r>
          </w:p>
        </w:tc>
      </w:tr>
      <w:tr w:rsidR="00DA2327" w:rsidRPr="00E268C4" w:rsidTr="00CF518B">
        <w:tc>
          <w:tcPr>
            <w:tcW w:w="1657" w:type="pct"/>
            <w:shd w:val="clear" w:color="auto" w:fill="auto"/>
            <w:vAlign w:val="center"/>
          </w:tcPr>
          <w:p w:rsidR="00DA2327" w:rsidRPr="00E268C4" w:rsidRDefault="00E519F1" w:rsidP="00DF2ABC">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Investor selection criteria</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 xml:space="preserve">Investors must meet the criteria of being professional securities investors as prescribed in Article 11, Law on Securities </w:t>
            </w:r>
            <w:r w:rsidR="00CF518B" w:rsidRPr="00E268C4">
              <w:rPr>
                <w:rFonts w:ascii="Arial" w:hAnsi="Arial" w:cs="Arial"/>
                <w:i/>
                <w:color w:val="010000"/>
                <w:sz w:val="20"/>
              </w:rPr>
              <w:t xml:space="preserve">No. </w:t>
            </w:r>
            <w:r w:rsidRPr="00E268C4">
              <w:rPr>
                <w:rFonts w:ascii="Arial" w:hAnsi="Arial" w:cs="Arial"/>
                <w:i/>
                <w:color w:val="010000"/>
                <w:sz w:val="20"/>
              </w:rPr>
              <w:t>54/2019/QH14.</w:t>
            </w:r>
          </w:p>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General Me</w:t>
            </w:r>
            <w:r w:rsidR="00CF518B" w:rsidRPr="00E268C4">
              <w:rPr>
                <w:rFonts w:ascii="Arial" w:hAnsi="Arial" w:cs="Arial"/>
                <w:i/>
                <w:color w:val="010000"/>
                <w:sz w:val="20"/>
              </w:rPr>
              <w:t>eting of Shareholders authorized</w:t>
            </w:r>
            <w:r w:rsidRPr="00E268C4">
              <w:rPr>
                <w:rFonts w:ascii="Arial" w:hAnsi="Arial" w:cs="Arial"/>
                <w:i/>
                <w:color w:val="010000"/>
                <w:sz w:val="20"/>
              </w:rPr>
              <w:t xml:space="preserve"> the Board of Directors to decide on details and adjustments to the investor selection criteria to suit the actual situation.</w:t>
            </w:r>
          </w:p>
        </w:tc>
      </w:tr>
      <w:tr w:rsidR="00DA2327" w:rsidRPr="00E268C4" w:rsidTr="00CF518B">
        <w:tc>
          <w:tcPr>
            <w:tcW w:w="1657" w:type="pct"/>
            <w:shd w:val="clear" w:color="auto" w:fill="auto"/>
            <w:vAlign w:val="center"/>
          </w:tcPr>
          <w:p w:rsidR="00DA2327" w:rsidRPr="00E268C4" w:rsidRDefault="00E519F1" w:rsidP="00DF2ABC">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Eligible buyers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General Me</w:t>
            </w:r>
            <w:r w:rsidR="00CF518B" w:rsidRPr="00E268C4">
              <w:rPr>
                <w:rFonts w:ascii="Arial" w:hAnsi="Arial" w:cs="Arial"/>
                <w:i/>
                <w:color w:val="010000"/>
                <w:sz w:val="20"/>
              </w:rPr>
              <w:t>eting of Shareholders authorized</w:t>
            </w:r>
            <w:r w:rsidRPr="00E268C4">
              <w:rPr>
                <w:rFonts w:ascii="Arial" w:hAnsi="Arial" w:cs="Arial"/>
                <w:i/>
                <w:color w:val="010000"/>
                <w:sz w:val="20"/>
              </w:rPr>
              <w:t xml:space="preserve"> the Board of Directors to identify professional securities investors in accordance with the current provisions of law.</w:t>
            </w:r>
          </w:p>
        </w:tc>
      </w:tr>
      <w:tr w:rsidR="00DA2327" w:rsidRPr="00E268C4" w:rsidTr="00CF518B">
        <w:tc>
          <w:tcPr>
            <w:tcW w:w="1657" w:type="pct"/>
            <w:shd w:val="clear" w:color="auto" w:fill="auto"/>
            <w:vAlign w:val="center"/>
          </w:tcPr>
          <w:p w:rsidR="00DA2327" w:rsidRPr="00E268C4" w:rsidRDefault="00E519F1" w:rsidP="00DF2ABC">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Expected number of shares offered to each investor</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Depending on the financial capacity and commitment of investors based on the agreement and cooperation contents of the parties.</w:t>
            </w:r>
          </w:p>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General</w:t>
            </w:r>
            <w:r w:rsidR="00CF518B" w:rsidRPr="00E268C4">
              <w:rPr>
                <w:rFonts w:ascii="Arial" w:hAnsi="Arial" w:cs="Arial"/>
                <w:i/>
                <w:color w:val="010000"/>
                <w:sz w:val="20"/>
              </w:rPr>
              <w:t xml:space="preserve"> Meeting of Shareholders assigned and authorized</w:t>
            </w:r>
            <w:r w:rsidRPr="00E268C4">
              <w:rPr>
                <w:rFonts w:ascii="Arial" w:hAnsi="Arial" w:cs="Arial"/>
                <w:i/>
                <w:color w:val="010000"/>
                <w:sz w:val="20"/>
              </w:rPr>
              <w:t xml:space="preserve"> the Board of Directors to </w:t>
            </w:r>
            <w:r w:rsidR="00CF518B" w:rsidRPr="00E268C4">
              <w:rPr>
                <w:rFonts w:ascii="Arial" w:hAnsi="Arial" w:cs="Arial"/>
                <w:i/>
                <w:color w:val="010000"/>
                <w:sz w:val="20"/>
              </w:rPr>
              <w:t>look for</w:t>
            </w:r>
            <w:r w:rsidRPr="00E268C4">
              <w:rPr>
                <w:rFonts w:ascii="Arial" w:hAnsi="Arial" w:cs="Arial"/>
                <w:i/>
                <w:color w:val="010000"/>
                <w:sz w:val="20"/>
              </w:rPr>
              <w:t>, select and approve the list and number of investors entitled to participate in the private placement; and decide the number of shares offered to each investor.</w:t>
            </w:r>
          </w:p>
        </w:tc>
      </w:tr>
      <w:tr w:rsidR="00DA2327" w:rsidRPr="00E268C4" w:rsidTr="00CF518B">
        <w:tc>
          <w:tcPr>
            <w:tcW w:w="1657" w:type="pct"/>
            <w:shd w:val="clear" w:color="auto" w:fill="auto"/>
            <w:vAlign w:val="center"/>
          </w:tcPr>
          <w:p w:rsidR="00DA2327" w:rsidRPr="00E268C4" w:rsidRDefault="00E519F1" w:rsidP="00DF2ABC">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Number of investors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Less than 100 investors</w:t>
            </w:r>
          </w:p>
        </w:tc>
      </w:tr>
      <w:tr w:rsidR="00DA2327" w:rsidRPr="00E268C4" w:rsidTr="00CF518B">
        <w:tc>
          <w:tcPr>
            <w:tcW w:w="1657" w:type="pct"/>
            <w:shd w:val="clear" w:color="auto" w:fill="auto"/>
            <w:vAlign w:val="center"/>
          </w:tcPr>
          <w:p w:rsidR="00DA2327" w:rsidRPr="00E268C4" w:rsidRDefault="00E519F1" w:rsidP="00DF2ABC">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 xml:space="preserve"> Plan on handling undistributed shares (if any)</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If the shares are not fully offered because professional securities investors refuse to buy part or all during the private placement, the General Me</w:t>
            </w:r>
            <w:r w:rsidR="00CF518B" w:rsidRPr="00E268C4">
              <w:rPr>
                <w:rFonts w:ascii="Arial" w:hAnsi="Arial" w:cs="Arial"/>
                <w:i/>
                <w:color w:val="010000"/>
                <w:sz w:val="20"/>
              </w:rPr>
              <w:t>eting of Shareholders authorized</w:t>
            </w:r>
            <w:r w:rsidRPr="00E268C4">
              <w:rPr>
                <w:rFonts w:ascii="Arial" w:hAnsi="Arial" w:cs="Arial"/>
                <w:i/>
                <w:color w:val="010000"/>
                <w:sz w:val="20"/>
              </w:rPr>
              <w:t xml:space="preserve"> the Board of Directors to distribute them to other professional securities investors.</w:t>
            </w:r>
          </w:p>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In case the deadline for distributing the number of offered shares expires according to the provisions of law (including the extension period (if any)), the General Me</w:t>
            </w:r>
            <w:r w:rsidR="00CF518B" w:rsidRPr="00E268C4">
              <w:rPr>
                <w:rFonts w:ascii="Arial" w:hAnsi="Arial" w:cs="Arial"/>
                <w:i/>
                <w:color w:val="010000"/>
                <w:sz w:val="20"/>
              </w:rPr>
              <w:t>eting of Shareholders authorized</w:t>
            </w:r>
            <w:r w:rsidRPr="00E268C4">
              <w:rPr>
                <w:rFonts w:ascii="Arial" w:hAnsi="Arial" w:cs="Arial"/>
                <w:i/>
                <w:color w:val="010000"/>
                <w:sz w:val="20"/>
              </w:rPr>
              <w:t xml:space="preserve"> the Board of Directors, </w:t>
            </w:r>
            <w:r w:rsidR="00CF518B" w:rsidRPr="00E268C4">
              <w:rPr>
                <w:rFonts w:ascii="Arial" w:hAnsi="Arial" w:cs="Arial"/>
                <w:i/>
                <w:color w:val="010000"/>
                <w:sz w:val="20"/>
              </w:rPr>
              <w:t>according to</w:t>
            </w:r>
            <w:r w:rsidRPr="00E268C4">
              <w:rPr>
                <w:rFonts w:ascii="Arial" w:hAnsi="Arial" w:cs="Arial"/>
                <w:i/>
                <w:color w:val="010000"/>
                <w:sz w:val="20"/>
              </w:rPr>
              <w:t xml:space="preserve"> the actual results of the offering, to decide the number of shares offered and the charter capital.</w:t>
            </w:r>
          </w:p>
        </w:tc>
      </w:tr>
      <w:tr w:rsidR="00DA2327" w:rsidRPr="00E268C4" w:rsidTr="00CF518B">
        <w:tc>
          <w:tcPr>
            <w:tcW w:w="1657" w:type="pct"/>
            <w:shd w:val="clear" w:color="auto" w:fill="auto"/>
            <w:vAlign w:val="center"/>
          </w:tcPr>
          <w:p w:rsidR="00DA2327" w:rsidRPr="00E268C4" w:rsidRDefault="00E519F1" w:rsidP="00CF518B">
            <w:pPr>
              <w:numPr>
                <w:ilvl w:val="0"/>
                <w:numId w:val="9"/>
              </w:numPr>
              <w:pBdr>
                <w:top w:val="nil"/>
                <w:left w:val="nil"/>
                <w:bottom w:val="nil"/>
                <w:right w:val="nil"/>
                <w:between w:val="nil"/>
              </w:pBdr>
              <w:tabs>
                <w:tab w:val="left" w:pos="432"/>
              </w:tabs>
              <w:spacing w:after="120" w:line="360" w:lineRule="auto"/>
              <w:ind w:left="0" w:firstLine="0"/>
              <w:rPr>
                <w:rFonts w:ascii="Arial" w:eastAsia="Arial" w:hAnsi="Arial" w:cs="Arial"/>
                <w:i/>
                <w:color w:val="010000"/>
                <w:sz w:val="20"/>
                <w:szCs w:val="20"/>
              </w:rPr>
            </w:pPr>
            <w:r w:rsidRPr="00E268C4">
              <w:rPr>
                <w:rFonts w:ascii="Arial" w:hAnsi="Arial" w:cs="Arial"/>
                <w:i/>
                <w:color w:val="010000"/>
                <w:sz w:val="20"/>
              </w:rPr>
              <w:lastRenderedPageBreak/>
              <w:t xml:space="preserve"> Transfer restrictions</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offered shares are restricted from transfer for 01 year from the date of completion of the offering, except in cases of transfer between professional securities investors or in accordance with the Court’s judgments or decisions that have come into legal effect, decisions of Arbitration or the legatee according to the provisions of law.</w:t>
            </w:r>
          </w:p>
        </w:tc>
      </w:tr>
      <w:tr w:rsidR="00DA2327" w:rsidRPr="00E268C4" w:rsidTr="00CF518B">
        <w:tc>
          <w:tcPr>
            <w:tcW w:w="1657" w:type="pct"/>
            <w:shd w:val="clear" w:color="auto" w:fill="auto"/>
            <w:vAlign w:val="center"/>
          </w:tcPr>
          <w:p w:rsidR="00DA2327" w:rsidRPr="00E268C4" w:rsidRDefault="00E519F1" w:rsidP="00CF518B">
            <w:pPr>
              <w:numPr>
                <w:ilvl w:val="0"/>
                <w:numId w:val="9"/>
              </w:numPr>
              <w:pBdr>
                <w:top w:val="nil"/>
                <w:left w:val="nil"/>
                <w:bottom w:val="nil"/>
                <w:right w:val="nil"/>
                <w:between w:val="nil"/>
              </w:pBdr>
              <w:tabs>
                <w:tab w:val="left" w:pos="432"/>
              </w:tabs>
              <w:spacing w:after="120" w:line="360" w:lineRule="auto"/>
              <w:ind w:left="0" w:firstLine="0"/>
              <w:rPr>
                <w:rFonts w:ascii="Arial" w:eastAsia="Arial" w:hAnsi="Arial" w:cs="Arial"/>
                <w:i/>
                <w:color w:val="010000"/>
                <w:sz w:val="20"/>
                <w:szCs w:val="20"/>
              </w:rPr>
            </w:pPr>
            <w:r w:rsidRPr="00E268C4">
              <w:rPr>
                <w:rFonts w:ascii="Arial" w:hAnsi="Arial" w:cs="Arial"/>
                <w:i/>
                <w:color w:val="010000"/>
                <w:sz w:val="20"/>
              </w:rPr>
              <w:t xml:space="preserve"> Plan to ensure that the share offering complies with regulations on foreign ownership rate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 xml:space="preserve">The General Meeting of Shareholders authorizes the Board of Directors to approve the plan </w:t>
            </w:r>
            <w:r w:rsidR="00CF518B" w:rsidRPr="00E268C4">
              <w:rPr>
                <w:rFonts w:ascii="Arial" w:hAnsi="Arial" w:cs="Arial"/>
                <w:i/>
                <w:color w:val="010000"/>
                <w:sz w:val="20"/>
              </w:rPr>
              <w:t>to ensure</w:t>
            </w:r>
            <w:r w:rsidRPr="00E268C4">
              <w:rPr>
                <w:rFonts w:ascii="Arial" w:hAnsi="Arial" w:cs="Arial"/>
                <w:i/>
                <w:color w:val="010000"/>
                <w:sz w:val="20"/>
              </w:rPr>
              <w:t xml:space="preserve"> the share offering complies with the regulations on foreign ownership rate.</w:t>
            </w:r>
          </w:p>
        </w:tc>
      </w:tr>
      <w:tr w:rsidR="00DA2327" w:rsidRPr="00E268C4" w:rsidTr="00CF518B">
        <w:tc>
          <w:tcPr>
            <w:tcW w:w="1657" w:type="pct"/>
            <w:shd w:val="clear" w:color="auto" w:fill="auto"/>
            <w:vAlign w:val="center"/>
          </w:tcPr>
          <w:p w:rsidR="00DA2327" w:rsidRPr="00E268C4" w:rsidRDefault="00E519F1" w:rsidP="00CF518B">
            <w:pPr>
              <w:numPr>
                <w:ilvl w:val="0"/>
                <w:numId w:val="9"/>
              </w:numPr>
              <w:pBdr>
                <w:top w:val="nil"/>
                <w:left w:val="nil"/>
                <w:bottom w:val="nil"/>
                <w:right w:val="nil"/>
                <w:between w:val="nil"/>
              </w:pBdr>
              <w:tabs>
                <w:tab w:val="left" w:pos="432"/>
              </w:tabs>
              <w:spacing w:after="120" w:line="360" w:lineRule="auto"/>
              <w:ind w:left="0" w:firstLine="0"/>
              <w:rPr>
                <w:rFonts w:ascii="Arial" w:eastAsia="Arial" w:hAnsi="Arial" w:cs="Arial"/>
                <w:i/>
                <w:color w:val="010000"/>
                <w:sz w:val="20"/>
                <w:szCs w:val="20"/>
              </w:rPr>
            </w:pPr>
            <w:r w:rsidRPr="00E268C4">
              <w:rPr>
                <w:rFonts w:ascii="Arial" w:hAnsi="Arial" w:cs="Arial"/>
                <w:i/>
                <w:color w:val="010000"/>
                <w:sz w:val="20"/>
              </w:rPr>
              <w:t xml:space="preserve"> Expected time of the issuance</w:t>
            </w:r>
          </w:p>
        </w:tc>
        <w:tc>
          <w:tcPr>
            <w:tcW w:w="3343" w:type="pct"/>
            <w:shd w:val="clear" w:color="auto" w:fill="auto"/>
            <w:vAlign w:val="center"/>
          </w:tcPr>
          <w:p w:rsidR="00DA2327" w:rsidRPr="00E268C4"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Expected from Q3/2024 to the end of 2025, the General Me</w:t>
            </w:r>
            <w:r w:rsidR="00CF518B" w:rsidRPr="00E268C4">
              <w:rPr>
                <w:rFonts w:ascii="Arial" w:hAnsi="Arial" w:cs="Arial"/>
                <w:i/>
                <w:color w:val="010000"/>
                <w:sz w:val="20"/>
              </w:rPr>
              <w:t>eting of Shareholders authorized</w:t>
            </w:r>
            <w:r w:rsidRPr="00E268C4">
              <w:rPr>
                <w:rFonts w:ascii="Arial" w:hAnsi="Arial" w:cs="Arial"/>
                <w:i/>
                <w:color w:val="010000"/>
                <w:sz w:val="20"/>
              </w:rPr>
              <w:t xml:space="preserve"> the Board of Directors to decide on the specific time after the State Securities Commission has received in writing all documents for registration of the private placement of the Company.</w:t>
            </w:r>
          </w:p>
        </w:tc>
      </w:tr>
    </w:tbl>
    <w:p w:rsidR="00DA2327" w:rsidRPr="00E268C4" w:rsidRDefault="00E519F1" w:rsidP="00DF2ABC">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E268C4">
        <w:rPr>
          <w:rFonts w:ascii="Arial" w:hAnsi="Arial" w:cs="Arial"/>
          <w:i/>
          <w:color w:val="010000"/>
          <w:sz w:val="20"/>
        </w:rPr>
        <w:t>Purpose of the offering, the plan on using the capital from the offering</w:t>
      </w:r>
    </w:p>
    <w:p w:rsidR="00DA2327" w:rsidRPr="00E268C4" w:rsidRDefault="00E519F1" w:rsidP="00DF2ABC">
      <w:pPr>
        <w:numPr>
          <w:ilvl w:val="0"/>
          <w:numId w:val="3"/>
        </w:numPr>
        <w:pBdr>
          <w:top w:val="nil"/>
          <w:left w:val="nil"/>
          <w:bottom w:val="nil"/>
          <w:right w:val="nil"/>
          <w:between w:val="nil"/>
        </w:pBdr>
        <w:tabs>
          <w:tab w:val="left" w:pos="345"/>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Offering purposes: The Golden Group Joint Stock Company implements the private placement to increase charter capital to supplement capital to carry out the Company's investment and business activities.</w:t>
      </w:r>
    </w:p>
    <w:p w:rsidR="00DA2327" w:rsidRPr="00E268C4" w:rsidRDefault="00E519F1" w:rsidP="00DF2ABC">
      <w:pPr>
        <w:numPr>
          <w:ilvl w:val="0"/>
          <w:numId w:val="3"/>
        </w:numPr>
        <w:pBdr>
          <w:top w:val="nil"/>
          <w:left w:val="nil"/>
          <w:bottom w:val="nil"/>
          <w:right w:val="nil"/>
          <w:between w:val="nil"/>
        </w:pBdr>
        <w:tabs>
          <w:tab w:val="left" w:pos="345"/>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In case the Company successfully issues 6,000,000 shares at the offering price of VND10,000/share, the proceeds of VND60,000,000,000 will be used for the following purposes in order of priority:</w:t>
      </w:r>
    </w:p>
    <w:tbl>
      <w:tblPr>
        <w:tblStyle w:val="a3"/>
        <w:tblW w:w="5000" w:type="pct"/>
        <w:tblLook w:val="0000" w:firstRow="0" w:lastRow="0" w:firstColumn="0" w:lastColumn="0" w:noHBand="0" w:noVBand="0"/>
      </w:tblPr>
      <w:tblGrid>
        <w:gridCol w:w="658"/>
        <w:gridCol w:w="4681"/>
        <w:gridCol w:w="1931"/>
        <w:gridCol w:w="1777"/>
      </w:tblGrid>
      <w:tr w:rsidR="00DA2327" w:rsidRPr="00E268C4" w:rsidTr="00CF518B">
        <w:tc>
          <w:tcPr>
            <w:tcW w:w="364" w:type="pct"/>
            <w:tcBorders>
              <w:top w:val="single" w:sz="4" w:space="0" w:color="000000"/>
              <w:left w:val="single" w:sz="4" w:space="0" w:color="000000"/>
            </w:tcBorders>
            <w:shd w:val="clear" w:color="auto" w:fill="auto"/>
            <w:vAlign w:val="center"/>
          </w:tcPr>
          <w:p w:rsidR="00DA2327" w:rsidRPr="00E268C4" w:rsidRDefault="00CF518B"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 xml:space="preserve">No. </w:t>
            </w:r>
          </w:p>
        </w:tc>
        <w:tc>
          <w:tcPr>
            <w:tcW w:w="2587" w:type="pct"/>
            <w:tcBorders>
              <w:top w:val="single" w:sz="4" w:space="0" w:color="000000"/>
              <w:left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Purpose of using capital</w:t>
            </w:r>
          </w:p>
        </w:tc>
        <w:tc>
          <w:tcPr>
            <w:tcW w:w="1067" w:type="pct"/>
            <w:tcBorders>
              <w:top w:val="single" w:sz="4" w:space="0" w:color="000000"/>
              <w:left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(Expected) Amount (VND)</w:t>
            </w:r>
          </w:p>
        </w:tc>
        <w:tc>
          <w:tcPr>
            <w:tcW w:w="982" w:type="pct"/>
            <w:tcBorders>
              <w:top w:val="single" w:sz="4" w:space="0" w:color="000000"/>
              <w:left w:val="single" w:sz="4" w:space="0" w:color="000000"/>
              <w:right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Disbursement time</w:t>
            </w:r>
          </w:p>
        </w:tc>
      </w:tr>
      <w:tr w:rsidR="00DA2327" w:rsidRPr="00E268C4" w:rsidTr="00CF518B">
        <w:tc>
          <w:tcPr>
            <w:tcW w:w="364" w:type="pct"/>
            <w:tcBorders>
              <w:top w:val="single" w:sz="4" w:space="0" w:color="000000"/>
              <w:left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1</w:t>
            </w:r>
          </w:p>
        </w:tc>
        <w:tc>
          <w:tcPr>
            <w:tcW w:w="2587" w:type="pct"/>
            <w:tcBorders>
              <w:top w:val="single" w:sz="4" w:space="0" w:color="000000"/>
              <w:left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 xml:space="preserve">Receive transfer of maximum capital contribution of VND49,000,000,000 of the subsidiary </w:t>
            </w:r>
            <w:proofErr w:type="spellStart"/>
            <w:r w:rsidRPr="00E268C4">
              <w:rPr>
                <w:rFonts w:ascii="Arial" w:hAnsi="Arial" w:cs="Arial"/>
                <w:i/>
                <w:color w:val="010000"/>
                <w:sz w:val="20"/>
              </w:rPr>
              <w:t>Angimex</w:t>
            </w:r>
            <w:proofErr w:type="spellEnd"/>
            <w:r w:rsidRPr="00E268C4">
              <w:rPr>
                <w:rFonts w:ascii="Arial" w:hAnsi="Arial" w:cs="Arial"/>
                <w:i/>
                <w:color w:val="010000"/>
                <w:sz w:val="20"/>
              </w:rPr>
              <w:t xml:space="preserve"> Furious Company Limited (Business Registration </w:t>
            </w:r>
            <w:r w:rsidR="00CF518B" w:rsidRPr="00E268C4">
              <w:rPr>
                <w:rFonts w:ascii="Arial" w:hAnsi="Arial" w:cs="Arial"/>
                <w:i/>
                <w:color w:val="010000"/>
                <w:sz w:val="20"/>
              </w:rPr>
              <w:t xml:space="preserve">No. </w:t>
            </w:r>
            <w:r w:rsidRPr="00E268C4">
              <w:rPr>
                <w:rFonts w:ascii="Arial" w:hAnsi="Arial" w:cs="Arial"/>
                <w:i/>
                <w:color w:val="010000"/>
                <w:sz w:val="20"/>
              </w:rPr>
              <w:t xml:space="preserve">1602131322) from existing capital contributing members, with the purpose of increasing the ownership rate at the subsidiary </w:t>
            </w:r>
          </w:p>
        </w:tc>
        <w:tc>
          <w:tcPr>
            <w:tcW w:w="1067" w:type="pct"/>
            <w:tcBorders>
              <w:top w:val="single" w:sz="4" w:space="0" w:color="000000"/>
              <w:left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49,000,000,000</w:t>
            </w:r>
          </w:p>
        </w:tc>
        <w:tc>
          <w:tcPr>
            <w:tcW w:w="982" w:type="pct"/>
            <w:vMerge w:val="restart"/>
            <w:tcBorders>
              <w:top w:val="single" w:sz="4" w:space="0" w:color="000000"/>
              <w:left w:val="single" w:sz="4" w:space="0" w:color="000000"/>
              <w:right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Expected from Q3/2024 to the end of 2025, after the State Securities Commission has received in writing all documents reporting the results of the offering of the Company</w:t>
            </w:r>
          </w:p>
        </w:tc>
      </w:tr>
      <w:tr w:rsidR="00DA2327" w:rsidRPr="00E268C4" w:rsidTr="00CF518B">
        <w:tc>
          <w:tcPr>
            <w:tcW w:w="364" w:type="pct"/>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2</w:t>
            </w:r>
          </w:p>
        </w:tc>
        <w:tc>
          <w:tcPr>
            <w:tcW w:w="2587" w:type="pct"/>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 xml:space="preserve">Buy additional shares issued by HB </w:t>
            </w:r>
            <w:proofErr w:type="spellStart"/>
            <w:r w:rsidRPr="00E268C4">
              <w:rPr>
                <w:rFonts w:ascii="Arial" w:hAnsi="Arial" w:cs="Arial"/>
                <w:i/>
                <w:color w:val="010000"/>
                <w:sz w:val="20"/>
              </w:rPr>
              <w:t>Pharma</w:t>
            </w:r>
            <w:proofErr w:type="spellEnd"/>
            <w:r w:rsidRPr="00E268C4">
              <w:rPr>
                <w:rFonts w:ascii="Arial" w:hAnsi="Arial" w:cs="Arial"/>
                <w:i/>
                <w:color w:val="010000"/>
                <w:sz w:val="20"/>
              </w:rPr>
              <w:t xml:space="preserve"> Joint Stock Company (Business Registration </w:t>
            </w:r>
            <w:r w:rsidR="00CF518B" w:rsidRPr="00E268C4">
              <w:rPr>
                <w:rFonts w:ascii="Arial" w:hAnsi="Arial" w:cs="Arial"/>
                <w:i/>
                <w:color w:val="010000"/>
                <w:sz w:val="20"/>
              </w:rPr>
              <w:t xml:space="preserve">No. </w:t>
            </w:r>
            <w:r w:rsidRPr="00E268C4">
              <w:rPr>
                <w:rFonts w:ascii="Arial" w:hAnsi="Arial" w:cs="Arial"/>
                <w:i/>
                <w:color w:val="010000"/>
                <w:sz w:val="20"/>
              </w:rPr>
              <w:t xml:space="preserve">0317680386), the purpose is for HB </w:t>
            </w:r>
            <w:proofErr w:type="spellStart"/>
            <w:r w:rsidRPr="00E268C4">
              <w:rPr>
                <w:rFonts w:ascii="Arial" w:hAnsi="Arial" w:cs="Arial"/>
                <w:i/>
                <w:color w:val="010000"/>
                <w:sz w:val="20"/>
              </w:rPr>
              <w:t>Pharma</w:t>
            </w:r>
            <w:proofErr w:type="spellEnd"/>
            <w:r w:rsidRPr="00E268C4">
              <w:rPr>
                <w:rFonts w:ascii="Arial" w:hAnsi="Arial" w:cs="Arial"/>
                <w:i/>
                <w:color w:val="010000"/>
                <w:sz w:val="20"/>
              </w:rPr>
              <w:t xml:space="preserve"> Joint Stock Company to supplement working capital for production and business activities and repay loans. </w:t>
            </w:r>
          </w:p>
        </w:tc>
        <w:tc>
          <w:tcPr>
            <w:tcW w:w="1067" w:type="pct"/>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8,000,000,000</w:t>
            </w:r>
          </w:p>
        </w:tc>
        <w:tc>
          <w:tcPr>
            <w:tcW w:w="982" w:type="pct"/>
            <w:vMerge/>
            <w:tcBorders>
              <w:top w:val="single" w:sz="4" w:space="0" w:color="000000"/>
              <w:left w:val="single" w:sz="4" w:space="0" w:color="000000"/>
              <w:right w:val="single" w:sz="4" w:space="0" w:color="000000"/>
            </w:tcBorders>
            <w:shd w:val="clear" w:color="auto" w:fill="auto"/>
            <w:vAlign w:val="center"/>
          </w:tcPr>
          <w:p w:rsidR="00DA2327" w:rsidRPr="00E268C4" w:rsidRDefault="00DA2327" w:rsidP="00CF518B">
            <w:pPr>
              <w:pBdr>
                <w:top w:val="nil"/>
                <w:left w:val="nil"/>
                <w:bottom w:val="nil"/>
                <w:right w:val="nil"/>
                <w:between w:val="nil"/>
              </w:pBdr>
              <w:spacing w:after="120" w:line="360" w:lineRule="auto"/>
              <w:rPr>
                <w:rFonts w:ascii="Arial" w:eastAsia="Arial" w:hAnsi="Arial" w:cs="Arial"/>
                <w:i/>
                <w:color w:val="010000"/>
                <w:sz w:val="20"/>
                <w:szCs w:val="20"/>
              </w:rPr>
            </w:pPr>
          </w:p>
        </w:tc>
      </w:tr>
      <w:tr w:rsidR="00DA2327" w:rsidRPr="00E268C4" w:rsidTr="00CF518B">
        <w:tc>
          <w:tcPr>
            <w:tcW w:w="364" w:type="pct"/>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3</w:t>
            </w:r>
          </w:p>
        </w:tc>
        <w:tc>
          <w:tcPr>
            <w:tcW w:w="2587" w:type="pct"/>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 xml:space="preserve">Supplement working capital for production and </w:t>
            </w:r>
            <w:r w:rsidRPr="00E268C4">
              <w:rPr>
                <w:rFonts w:ascii="Arial" w:hAnsi="Arial" w:cs="Arial"/>
                <w:i/>
                <w:color w:val="010000"/>
                <w:sz w:val="20"/>
              </w:rPr>
              <w:lastRenderedPageBreak/>
              <w:t>business activities of the Company</w:t>
            </w:r>
          </w:p>
        </w:tc>
        <w:tc>
          <w:tcPr>
            <w:tcW w:w="1067" w:type="pct"/>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lastRenderedPageBreak/>
              <w:t>3,000,000,000</w:t>
            </w:r>
          </w:p>
        </w:tc>
        <w:tc>
          <w:tcPr>
            <w:tcW w:w="982" w:type="pct"/>
            <w:tcBorders>
              <w:left w:val="single" w:sz="4" w:space="0" w:color="000000"/>
              <w:right w:val="single" w:sz="4" w:space="0" w:color="000000"/>
            </w:tcBorders>
            <w:shd w:val="clear" w:color="auto" w:fill="auto"/>
            <w:vAlign w:val="center"/>
          </w:tcPr>
          <w:p w:rsidR="00DA2327" w:rsidRPr="00E268C4" w:rsidRDefault="00DA2327" w:rsidP="00CF518B">
            <w:pPr>
              <w:tabs>
                <w:tab w:val="left" w:pos="432"/>
              </w:tabs>
              <w:spacing w:after="120" w:line="360" w:lineRule="auto"/>
              <w:rPr>
                <w:rFonts w:ascii="Arial" w:eastAsia="Arial" w:hAnsi="Arial" w:cs="Arial"/>
                <w:i/>
                <w:color w:val="010000"/>
                <w:sz w:val="20"/>
                <w:szCs w:val="20"/>
              </w:rPr>
            </w:pPr>
          </w:p>
        </w:tc>
      </w:tr>
      <w:tr w:rsidR="00DA2327" w:rsidRPr="00E268C4" w:rsidTr="00CF518B">
        <w:tc>
          <w:tcPr>
            <w:tcW w:w="2951" w:type="pct"/>
            <w:gridSpan w:val="2"/>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lastRenderedPageBreak/>
              <w:t>Total</w:t>
            </w:r>
          </w:p>
        </w:tc>
        <w:tc>
          <w:tcPr>
            <w:tcW w:w="1067" w:type="pct"/>
            <w:tcBorders>
              <w:top w:val="single" w:sz="4" w:space="0" w:color="000000"/>
              <w:left w:val="single" w:sz="4" w:space="0" w:color="000000"/>
              <w:bottom w:val="single" w:sz="4" w:space="0" w:color="000000"/>
            </w:tcBorders>
            <w:shd w:val="clear" w:color="auto" w:fill="auto"/>
            <w:vAlign w:val="center"/>
          </w:tcPr>
          <w:p w:rsidR="00DA2327" w:rsidRPr="00E268C4" w:rsidRDefault="00E519F1" w:rsidP="00CF518B">
            <w:pPr>
              <w:pBdr>
                <w:top w:val="nil"/>
                <w:left w:val="nil"/>
                <w:bottom w:val="nil"/>
                <w:right w:val="nil"/>
                <w:between w:val="nil"/>
              </w:pBdr>
              <w:tabs>
                <w:tab w:val="left" w:pos="432"/>
              </w:tabs>
              <w:spacing w:after="120" w:line="360" w:lineRule="auto"/>
              <w:rPr>
                <w:rFonts w:ascii="Arial" w:eastAsia="Arial" w:hAnsi="Arial" w:cs="Arial"/>
                <w:i/>
                <w:color w:val="010000"/>
                <w:sz w:val="20"/>
                <w:szCs w:val="20"/>
              </w:rPr>
            </w:pPr>
            <w:r w:rsidRPr="00E268C4">
              <w:rPr>
                <w:rFonts w:ascii="Arial" w:hAnsi="Arial" w:cs="Arial"/>
                <w:i/>
                <w:color w:val="010000"/>
                <w:sz w:val="20"/>
              </w:rPr>
              <w:t>60,000,000,000</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2327" w:rsidRPr="00E268C4" w:rsidRDefault="00DA2327" w:rsidP="00CF518B">
            <w:pPr>
              <w:tabs>
                <w:tab w:val="left" w:pos="432"/>
              </w:tabs>
              <w:spacing w:after="120" w:line="360" w:lineRule="auto"/>
              <w:rPr>
                <w:rFonts w:ascii="Arial" w:eastAsia="Arial" w:hAnsi="Arial" w:cs="Arial"/>
                <w:i/>
                <w:color w:val="010000"/>
                <w:sz w:val="20"/>
                <w:szCs w:val="20"/>
              </w:rPr>
            </w:pPr>
          </w:p>
        </w:tc>
      </w:tr>
    </w:tbl>
    <w:p w:rsidR="00DA2327" w:rsidRPr="00E268C4" w:rsidRDefault="00E519F1" w:rsidP="00DF2ABC">
      <w:pPr>
        <w:numPr>
          <w:ilvl w:val="0"/>
          <w:numId w:val="3"/>
        </w:numPr>
        <w:pBdr>
          <w:top w:val="nil"/>
          <w:left w:val="nil"/>
          <w:bottom w:val="nil"/>
          <w:right w:val="nil"/>
          <w:between w:val="nil"/>
        </w:pBdr>
        <w:tabs>
          <w:tab w:val="left" w:pos="352"/>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Plan on offsetting the shortfall in capital expected to be mobilized from the offering: The General Meeting of Shareholders authorized the Board of Directors to select other valid capital sources to offset the shortfall compared to other capital use options such as retained profit, bank loans, etc.</w:t>
      </w:r>
    </w:p>
    <w:p w:rsidR="00DA2327" w:rsidRPr="00E268C4" w:rsidRDefault="00E519F1" w:rsidP="00DF2ABC">
      <w:pPr>
        <w:numPr>
          <w:ilvl w:val="0"/>
          <w:numId w:val="3"/>
        </w:numPr>
        <w:pBdr>
          <w:top w:val="nil"/>
          <w:left w:val="nil"/>
          <w:bottom w:val="nil"/>
          <w:right w:val="nil"/>
          <w:between w:val="nil"/>
        </w:pBdr>
        <w:tabs>
          <w:tab w:val="left" w:pos="352"/>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General Meeting of Shareholders authorized the Board of Directors to change the order of priority to use capital obtained from the offering in case of necessity.</w:t>
      </w:r>
    </w:p>
    <w:p w:rsidR="00DA2327" w:rsidRPr="00E268C4" w:rsidRDefault="00E519F1" w:rsidP="00DF2ABC">
      <w:pPr>
        <w:numPr>
          <w:ilvl w:val="0"/>
          <w:numId w:val="3"/>
        </w:numPr>
        <w:pBdr>
          <w:top w:val="nil"/>
          <w:left w:val="nil"/>
          <w:bottom w:val="nil"/>
          <w:right w:val="nil"/>
          <w:between w:val="nil"/>
        </w:pBdr>
        <w:tabs>
          <w:tab w:val="left" w:pos="352"/>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 xml:space="preserve">The General Meeting of Shareholders authorized the Board of Directors to decide on a detailed capital use plan according to the actual operating situation of the Company and in case of necessity, the Board of Directors has the right to adjust and change the capital use plan, ensuring a successful offering and consistent with the Company's practical needs to bring maximum investment efficiency to the Company and shareholders without needing to request the opinion of the General Meeting of Shareholders. Adjustments to the Board of Directors' plan on using capital must comply with the regulations in Clause 2, Article 9, </w:t>
      </w:r>
      <w:proofErr w:type="gramStart"/>
      <w:r w:rsidRPr="00E268C4">
        <w:rPr>
          <w:rFonts w:ascii="Arial" w:hAnsi="Arial" w:cs="Arial"/>
          <w:i/>
          <w:color w:val="010000"/>
          <w:sz w:val="20"/>
        </w:rPr>
        <w:t>Decree</w:t>
      </w:r>
      <w:proofErr w:type="gramEnd"/>
      <w:r w:rsidRPr="00E268C4">
        <w:rPr>
          <w:rFonts w:ascii="Arial" w:hAnsi="Arial" w:cs="Arial"/>
          <w:i/>
          <w:color w:val="010000"/>
          <w:sz w:val="20"/>
        </w:rPr>
        <w:t xml:space="preserve"> 155/2020/ND-CP. The Board of Directors will report on the adjustment of the purpose of using the proceeds from the offering (if any) at the nearest General Meeting of Shareholders.</w:t>
      </w:r>
    </w:p>
    <w:p w:rsidR="00DA2327" w:rsidRPr="00E268C4" w:rsidRDefault="00E519F1" w:rsidP="00DF2ABC">
      <w:pPr>
        <w:keepNext/>
        <w:numPr>
          <w:ilvl w:val="0"/>
          <w:numId w:val="4"/>
        </w:numPr>
        <w:pBdr>
          <w:top w:val="nil"/>
          <w:left w:val="nil"/>
          <w:bottom w:val="nil"/>
          <w:right w:val="nil"/>
          <w:between w:val="nil"/>
        </w:pBdr>
        <w:tabs>
          <w:tab w:val="left" w:pos="432"/>
          <w:tab w:val="left" w:pos="683"/>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Registration of additional securities and listing of additional shares</w:t>
      </w:r>
    </w:p>
    <w:p w:rsidR="00DA2327" w:rsidRPr="00937CAF"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i/>
          <w:color w:val="010000"/>
          <w:sz w:val="20"/>
          <w:szCs w:val="20"/>
        </w:rPr>
      </w:pPr>
      <w:r w:rsidRPr="00E268C4">
        <w:rPr>
          <w:rFonts w:ascii="Arial" w:hAnsi="Arial" w:cs="Arial"/>
          <w:i/>
          <w:color w:val="010000"/>
          <w:sz w:val="20"/>
        </w:rPr>
        <w:t>The General Meeting of Shareholders authorized and assigned the Board of Directors to carry out the necessary procedures to register additional securities at Vietnam Securities Depository and Clearing Corporation (VSDC) and register for trading, and additional shares at the Hanoi Stock Exchange (HNX) for all shares successfully issued in accordance with the current provisions of law.</w:t>
      </w:r>
      <w:r w:rsidRPr="00937CAF">
        <w:rPr>
          <w:rFonts w:ascii="Arial" w:hAnsi="Arial" w:cs="Arial"/>
          <w:i/>
          <w:color w:val="010000"/>
          <w:sz w:val="20"/>
        </w:rPr>
        <w:t xml:space="preserve"> </w:t>
      </w:r>
    </w:p>
    <w:p w:rsidR="00DA2327" w:rsidRPr="00E519F1" w:rsidRDefault="00E519F1" w:rsidP="00DF2A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Article 10: Terms of enforcement</w:t>
      </w:r>
    </w:p>
    <w:p w:rsidR="00DA2327" w:rsidRPr="00E519F1" w:rsidRDefault="00E519F1" w:rsidP="00DF2ABC">
      <w:pPr>
        <w:numPr>
          <w:ilvl w:val="0"/>
          <w:numId w:val="10"/>
        </w:numPr>
        <w:pBdr>
          <w:top w:val="nil"/>
          <w:left w:val="nil"/>
          <w:bottom w:val="nil"/>
          <w:right w:val="nil"/>
          <w:between w:val="nil"/>
        </w:pBdr>
        <w:tabs>
          <w:tab w:val="left" w:pos="345"/>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The 2nd Annual General Mandate 2024 of The Golden Group Joint Stock Company was prepared, announced and approved in front of all shareholders attending the Meeting at 10:40 a.m. on July 19, 2024.</w:t>
      </w:r>
    </w:p>
    <w:p w:rsidR="00DA2327" w:rsidRPr="00E519F1" w:rsidRDefault="00E519F1" w:rsidP="00DF2ABC">
      <w:pPr>
        <w:numPr>
          <w:ilvl w:val="0"/>
          <w:numId w:val="10"/>
        </w:numPr>
        <w:pBdr>
          <w:top w:val="nil"/>
          <w:left w:val="nil"/>
          <w:bottom w:val="nil"/>
          <w:right w:val="nil"/>
          <w:between w:val="nil"/>
        </w:pBdr>
        <w:tabs>
          <w:tab w:val="left" w:pos="345"/>
          <w:tab w:val="left" w:pos="432"/>
        </w:tabs>
        <w:spacing w:after="120" w:line="360" w:lineRule="auto"/>
        <w:jc w:val="both"/>
        <w:rPr>
          <w:rFonts w:ascii="Arial" w:eastAsia="Arial" w:hAnsi="Arial" w:cs="Arial"/>
          <w:color w:val="010000"/>
          <w:sz w:val="20"/>
          <w:szCs w:val="20"/>
        </w:rPr>
      </w:pPr>
      <w:r w:rsidRPr="00E519F1">
        <w:rPr>
          <w:rFonts w:ascii="Arial" w:hAnsi="Arial" w:cs="Arial"/>
          <w:color w:val="010000"/>
          <w:sz w:val="20"/>
        </w:rPr>
        <w:t xml:space="preserve">This General Mandate takes effect from the date of its promulgation. Members of the Board of Directors, the Supervisory Board, the Board of Management, and departments, and subsidiaries of The Golden Group Joint Stock Company are responsible for the implementation of this General Mandate in accordance with the provisions of law and the Company’s Charter. </w:t>
      </w:r>
    </w:p>
    <w:sectPr w:rsidR="00DA2327" w:rsidRPr="00E519F1" w:rsidSect="00CF518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D9"/>
    <w:multiLevelType w:val="multilevel"/>
    <w:tmpl w:val="8FA88FD0"/>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465F42"/>
    <w:multiLevelType w:val="multilevel"/>
    <w:tmpl w:val="87FEB182"/>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5267F9"/>
    <w:multiLevelType w:val="multilevel"/>
    <w:tmpl w:val="FD6CB1E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D715FB"/>
    <w:multiLevelType w:val="multilevel"/>
    <w:tmpl w:val="EE04B21E"/>
    <w:lvl w:ilvl="0">
      <w:start w:val="3"/>
      <w:numFmt w:val="upp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A8D5604"/>
    <w:multiLevelType w:val="multilevel"/>
    <w:tmpl w:val="1D4C4E7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1FB3A28"/>
    <w:multiLevelType w:val="multilevel"/>
    <w:tmpl w:val="5D005564"/>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F1E059E"/>
    <w:multiLevelType w:val="multilevel"/>
    <w:tmpl w:val="5120D1F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E10D3C"/>
    <w:multiLevelType w:val="multilevel"/>
    <w:tmpl w:val="CE84274C"/>
    <w:lvl w:ilvl="0">
      <w:start w:val="10"/>
      <w:numFmt w:val="decimal"/>
      <w:lvlText w:val="%1.0"/>
      <w:lvlJc w:val="left"/>
      <w:pPr>
        <w:ind w:left="585" w:hanging="585"/>
      </w:pPr>
      <w:rPr>
        <w:b w:val="0"/>
        <w:i w:val="0"/>
        <w:sz w:val="20"/>
      </w:rPr>
    </w:lvl>
    <w:lvl w:ilvl="1">
      <w:start w:val="1"/>
      <w:numFmt w:val="decimalZero"/>
      <w:lvlText w:val="%1.%2"/>
      <w:lvlJc w:val="left"/>
      <w:pPr>
        <w:ind w:left="1305" w:hanging="585"/>
      </w:pPr>
      <w:rPr>
        <w:b w:val="0"/>
        <w:i w:val="0"/>
        <w:sz w:val="20"/>
      </w:rPr>
    </w:lvl>
    <w:lvl w:ilvl="2">
      <w:start w:val="1"/>
      <w:numFmt w:val="decimalZero"/>
      <w:lvlText w:val="%1.%2.%3"/>
      <w:lvlJc w:val="left"/>
      <w:pPr>
        <w:ind w:left="2160" w:hanging="720"/>
      </w:pPr>
      <w:rPr>
        <w:b w:val="0"/>
        <w:i w:val="0"/>
        <w:sz w:val="2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6E306859"/>
    <w:multiLevelType w:val="multilevel"/>
    <w:tmpl w:val="A05A0E02"/>
    <w:lvl w:ilvl="0">
      <w:start w:val="1"/>
      <w:numFmt w:val="upperRoman"/>
      <w:lvlText w:val="%1."/>
      <w:lvlJc w:val="left"/>
      <w:pPr>
        <w:ind w:left="1080" w:hanging="720"/>
      </w:pPr>
      <w:rPr>
        <w:b w:val="0"/>
        <w:i/>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37B7591"/>
    <w:multiLevelType w:val="multilevel"/>
    <w:tmpl w:val="F0EE9AF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9"/>
  </w:num>
  <w:num w:numId="3">
    <w:abstractNumId w:val="2"/>
  </w:num>
  <w:num w:numId="4">
    <w:abstractNumId w:val="3"/>
  </w:num>
  <w:num w:numId="5">
    <w:abstractNumId w:val="8"/>
  </w:num>
  <w:num w:numId="6">
    <w:abstractNumId w:val="0"/>
  </w:num>
  <w:num w:numId="7">
    <w:abstractNumId w:val="7"/>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27"/>
    <w:rsid w:val="00937CAF"/>
    <w:rsid w:val="00CE37F4"/>
    <w:rsid w:val="00CF518B"/>
    <w:rsid w:val="00DA2327"/>
    <w:rsid w:val="00DF2ABC"/>
    <w:rsid w:val="00E268C4"/>
    <w:rsid w:val="00E5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305" w:lineRule="auto"/>
    </w:pPr>
    <w:rPr>
      <w:rFonts w:ascii="Times New Roman" w:eastAsia="Times New Roman" w:hAnsi="Times New Roman" w:cs="Times New Roman"/>
      <w:sz w:val="22"/>
      <w:szCs w:val="22"/>
    </w:rPr>
  </w:style>
  <w:style w:type="paragraph" w:customStyle="1" w:styleId="Heading21">
    <w:name w:val="Heading #2"/>
    <w:basedOn w:val="Normal"/>
    <w:link w:val="Heading20"/>
    <w:pPr>
      <w:spacing w:line="396" w:lineRule="auto"/>
      <w:ind w:firstLine="320"/>
      <w:outlineLvl w:val="1"/>
    </w:pPr>
    <w:rPr>
      <w:rFonts w:ascii="Times New Roman" w:eastAsia="Times New Roman" w:hAnsi="Times New Roman" w:cs="Times New Roman"/>
      <w:b/>
      <w:bCs/>
      <w:sz w:val="22"/>
      <w:szCs w:val="22"/>
    </w:rPr>
  </w:style>
  <w:style w:type="paragraph" w:customStyle="1" w:styleId="Tablecaption0">
    <w:name w:val="Table caption"/>
    <w:basedOn w:val="Normal"/>
    <w:link w:val="Tablecaption"/>
    <w:rPr>
      <w:rFonts w:ascii="Times New Roman" w:eastAsia="Times New Roman" w:hAnsi="Times New Roman" w:cs="Times New Roman"/>
      <w:i/>
      <w:iCs/>
      <w:sz w:val="22"/>
      <w:szCs w:val="22"/>
    </w:rPr>
  </w:style>
  <w:style w:type="paragraph" w:customStyle="1" w:styleId="Other0">
    <w:name w:val="Other"/>
    <w:basedOn w:val="Normal"/>
    <w:link w:val="Other"/>
    <w:pPr>
      <w:spacing w:line="305" w:lineRule="auto"/>
    </w:pPr>
    <w:rPr>
      <w:rFonts w:ascii="Times New Roman" w:eastAsia="Times New Roman" w:hAnsi="Times New Roman" w:cs="Times New Roman"/>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305" w:lineRule="auto"/>
    </w:pPr>
    <w:rPr>
      <w:rFonts w:ascii="Times New Roman" w:eastAsia="Times New Roman" w:hAnsi="Times New Roman" w:cs="Times New Roman"/>
      <w:sz w:val="22"/>
      <w:szCs w:val="22"/>
    </w:rPr>
  </w:style>
  <w:style w:type="paragraph" w:customStyle="1" w:styleId="Heading21">
    <w:name w:val="Heading #2"/>
    <w:basedOn w:val="Normal"/>
    <w:link w:val="Heading20"/>
    <w:pPr>
      <w:spacing w:line="396" w:lineRule="auto"/>
      <w:ind w:firstLine="320"/>
      <w:outlineLvl w:val="1"/>
    </w:pPr>
    <w:rPr>
      <w:rFonts w:ascii="Times New Roman" w:eastAsia="Times New Roman" w:hAnsi="Times New Roman" w:cs="Times New Roman"/>
      <w:b/>
      <w:bCs/>
      <w:sz w:val="22"/>
      <w:szCs w:val="22"/>
    </w:rPr>
  </w:style>
  <w:style w:type="paragraph" w:customStyle="1" w:styleId="Tablecaption0">
    <w:name w:val="Table caption"/>
    <w:basedOn w:val="Normal"/>
    <w:link w:val="Tablecaption"/>
    <w:rPr>
      <w:rFonts w:ascii="Times New Roman" w:eastAsia="Times New Roman" w:hAnsi="Times New Roman" w:cs="Times New Roman"/>
      <w:i/>
      <w:iCs/>
      <w:sz w:val="22"/>
      <w:szCs w:val="22"/>
    </w:rPr>
  </w:style>
  <w:style w:type="paragraph" w:customStyle="1" w:styleId="Other0">
    <w:name w:val="Other"/>
    <w:basedOn w:val="Normal"/>
    <w:link w:val="Other"/>
    <w:pPr>
      <w:spacing w:line="305" w:lineRule="auto"/>
    </w:pPr>
    <w:rPr>
      <w:rFonts w:ascii="Times New Roman" w:eastAsia="Times New Roman" w:hAnsi="Times New Roman" w:cs="Times New Roman"/>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HlJTbYveGG8K1+IQ+MBeVHq6g==">CgMxLjAyCGguZ2pkZ3hzOAByITFVSzNPQ2dlRG5NNFBmb09WTEw0dDRyRGpIeUQ2VkkwNg==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2024-07-23T03:49:00Z</dcterms:created>
  <dcterms:modified xsi:type="dcterms:W3CDTF">2024-07-25T04:36:00Z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dabb951876e9a84fdd2af763fa995012527da731acc42000f333b985046a91f7</vt:lpwstr>
  </property>
</Properties>
</file>