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5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04B19">
        <w:rPr>
          <w:rFonts w:ascii="Arial" w:hAnsi="Arial" w:cs="Arial"/>
          <w:b/>
          <w:bCs/>
          <w:color w:val="010000"/>
          <w:sz w:val="20"/>
        </w:rPr>
        <w:t>CT6:</w:t>
      </w:r>
      <w:r w:rsidRPr="00C04B19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 xml:space="preserve">On June 22, 2024, Construction JSC No. 6 announced Resolution No. 16/NQ-HDQT as follows: 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 xml:space="preserve">‎‎Article 1. Approve the contents of the </w:t>
      </w:r>
      <w:r w:rsidR="00ED6528" w:rsidRPr="00C04B19">
        <w:rPr>
          <w:rFonts w:ascii="Arial" w:hAnsi="Arial" w:cs="Arial"/>
          <w:color w:val="010000"/>
          <w:sz w:val="20"/>
        </w:rPr>
        <w:t>R</w:t>
      </w:r>
      <w:r w:rsidRPr="00C04B19">
        <w:rPr>
          <w:rFonts w:ascii="Arial" w:hAnsi="Arial" w:cs="Arial"/>
          <w:color w:val="010000"/>
          <w:sz w:val="20"/>
        </w:rPr>
        <w:t>eport on production and business results in the first 6 months of 2024 and the production and business plan for the last 6 months of 2024 as follows:</w:t>
      </w:r>
    </w:p>
    <w:p w:rsidR="00B40A59" w:rsidRPr="00C04B19" w:rsidRDefault="00C04B19" w:rsidP="00B64F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>Implementation results of production business targets in the first 6 months of 2024.</w:t>
      </w: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710"/>
        <w:gridCol w:w="3922"/>
        <w:gridCol w:w="1374"/>
        <w:gridCol w:w="1807"/>
        <w:gridCol w:w="1194"/>
      </w:tblGrid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Production and business targets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ED6528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Results of the first 6 months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</w:tr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Output value (Billion VND)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180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59.6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33.1</w:t>
            </w:r>
          </w:p>
        </w:tc>
      </w:tr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145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62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43</w:t>
            </w:r>
          </w:p>
        </w:tc>
      </w:tr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Profit before tax (Billion VND)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  <w:szCs w:val="20"/>
              </w:rPr>
              <w:t>≥</w:t>
            </w:r>
            <w:r w:rsidRPr="00C04B1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1.2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30</w:t>
            </w:r>
          </w:p>
        </w:tc>
      </w:tr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Investment (Billion VND)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0.5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</w:tr>
      <w:tr w:rsidR="00B40A59" w:rsidRPr="00C04B19" w:rsidTr="00B64FC8">
        <w:tc>
          <w:tcPr>
            <w:tcW w:w="3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Average income (Million VND/person/month)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14.3</w:t>
            </w:r>
          </w:p>
        </w:tc>
        <w:tc>
          <w:tcPr>
            <w:tcW w:w="6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130</w:t>
            </w:r>
          </w:p>
        </w:tc>
      </w:tr>
    </w:tbl>
    <w:p w:rsidR="00B40A59" w:rsidRPr="00C04B19" w:rsidRDefault="00C04B19" w:rsidP="00B64F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>Expected production and business targets for the last 6 months of 2024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5742"/>
        <w:gridCol w:w="2561"/>
      </w:tblGrid>
      <w:tr w:rsidR="00B40A59" w:rsidRPr="00C04B19" w:rsidTr="00B64FC8">
        <w:tc>
          <w:tcPr>
            <w:tcW w:w="3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1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Production and business targets</w:t>
            </w:r>
          </w:p>
        </w:tc>
        <w:tc>
          <w:tcPr>
            <w:tcW w:w="14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14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The plan for the last 06 months of 2024</w:t>
            </w:r>
          </w:p>
        </w:tc>
      </w:tr>
      <w:tr w:rsidR="00B40A59" w:rsidRPr="00C04B19" w:rsidTr="00B64FC8">
        <w:tc>
          <w:tcPr>
            <w:tcW w:w="3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1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Output value (Billion VND)</w:t>
            </w:r>
          </w:p>
        </w:tc>
        <w:tc>
          <w:tcPr>
            <w:tcW w:w="14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120.4</w:t>
            </w:r>
          </w:p>
        </w:tc>
      </w:tr>
      <w:tr w:rsidR="00B40A59" w:rsidRPr="00C04B19" w:rsidTr="00B64FC8">
        <w:tc>
          <w:tcPr>
            <w:tcW w:w="3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1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14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83</w:t>
            </w:r>
          </w:p>
        </w:tc>
      </w:tr>
      <w:tr w:rsidR="00B40A59" w:rsidRPr="00C04B19" w:rsidTr="00B64FC8">
        <w:tc>
          <w:tcPr>
            <w:tcW w:w="3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1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Average income (Million VND/person/month)</w:t>
            </w:r>
          </w:p>
        </w:tc>
        <w:tc>
          <w:tcPr>
            <w:tcW w:w="14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40A59" w:rsidRPr="00C04B19" w:rsidRDefault="00C04B19" w:rsidP="00B6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04B19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</w:tr>
    </w:tbl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>Approve the machinery and equipment items invested in the first 6 months of 2024 and approve the machinery and equipment investment plan for the last 6 months of 2024.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 xml:space="preserve">‎‎Article 2. Approve the management solutions for Q3/2024 and the last 6 </w:t>
      </w:r>
      <w:r w:rsidR="001401AD">
        <w:rPr>
          <w:rFonts w:ascii="Arial" w:hAnsi="Arial" w:cs="Arial"/>
          <w:color w:val="010000"/>
          <w:sz w:val="20"/>
        </w:rPr>
        <w:t>months</w:t>
      </w:r>
      <w:r w:rsidRPr="00C04B19">
        <w:rPr>
          <w:rFonts w:ascii="Arial" w:hAnsi="Arial" w:cs="Arial"/>
          <w:color w:val="010000"/>
          <w:sz w:val="20"/>
        </w:rPr>
        <w:t xml:space="preserve"> of 2024, </w:t>
      </w:r>
      <w:r w:rsidR="001401AD">
        <w:rPr>
          <w:rFonts w:ascii="Arial" w:hAnsi="Arial" w:cs="Arial"/>
          <w:color w:val="010000"/>
          <w:sz w:val="20"/>
        </w:rPr>
        <w:t>paying</w:t>
      </w:r>
      <w:r w:rsidRPr="00C04B19">
        <w:rPr>
          <w:rFonts w:ascii="Arial" w:hAnsi="Arial" w:cs="Arial"/>
          <w:color w:val="010000"/>
          <w:sz w:val="20"/>
        </w:rPr>
        <w:t xml:space="preserve"> special attention to marketing and job search. </w:t>
      </w:r>
      <w:r w:rsidR="00ED6528" w:rsidRPr="00C04B19">
        <w:rPr>
          <w:rFonts w:ascii="Arial" w:hAnsi="Arial" w:cs="Arial"/>
          <w:color w:val="010000"/>
          <w:sz w:val="20"/>
        </w:rPr>
        <w:t>F</w:t>
      </w:r>
      <w:r w:rsidRPr="00C04B19">
        <w:rPr>
          <w:rFonts w:ascii="Arial" w:hAnsi="Arial" w:cs="Arial"/>
          <w:color w:val="010000"/>
          <w:sz w:val="20"/>
        </w:rPr>
        <w:t xml:space="preserve">ollow Vietnam Railway, Project Management departments and units outside the industry, etc. to seek </w:t>
      </w:r>
      <w:bookmarkStart w:id="0" w:name="_GoBack"/>
      <w:bookmarkEnd w:id="0"/>
      <w:r w:rsidRPr="00C04B19">
        <w:rPr>
          <w:rFonts w:ascii="Arial" w:hAnsi="Arial" w:cs="Arial"/>
          <w:color w:val="010000"/>
          <w:sz w:val="20"/>
        </w:rPr>
        <w:t>jobs.</w:t>
      </w:r>
    </w:p>
    <w:p w:rsidR="00B40A59" w:rsidRPr="00C04B19" w:rsidRDefault="00C04B19" w:rsidP="00B6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>Focus on training and recruiting suitable personnel to serve the construction of railway projects in the upcoming period.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>‎‎Article 3. Approve the solution plan for the land in Ho Chi Minh City:</w:t>
      </w:r>
      <w:r w:rsidR="00ED6528" w:rsidRPr="00C04B19">
        <w:rPr>
          <w:rFonts w:ascii="Arial" w:hAnsi="Arial" w:cs="Arial"/>
          <w:color w:val="010000"/>
          <w:sz w:val="20"/>
        </w:rPr>
        <w:t xml:space="preserve"> C</w:t>
      </w:r>
      <w:r w:rsidRPr="00C04B19">
        <w:rPr>
          <w:rFonts w:ascii="Arial" w:hAnsi="Arial" w:cs="Arial"/>
          <w:color w:val="010000"/>
          <w:sz w:val="20"/>
        </w:rPr>
        <w:t xml:space="preserve">oordinate with the consulting unit to carry out procedures to change the name of the Land Lease Contract and Certificate of Land Use Rights to the name of </w:t>
      </w:r>
      <w:r w:rsidR="00ED6528" w:rsidRPr="00C04B19">
        <w:rPr>
          <w:rFonts w:ascii="Arial" w:hAnsi="Arial" w:cs="Arial"/>
          <w:color w:val="010000"/>
          <w:sz w:val="20"/>
        </w:rPr>
        <w:t xml:space="preserve">Construction JSC </w:t>
      </w:r>
      <w:r w:rsidRPr="00C04B19">
        <w:rPr>
          <w:rFonts w:ascii="Arial" w:hAnsi="Arial" w:cs="Arial"/>
          <w:color w:val="010000"/>
          <w:sz w:val="20"/>
        </w:rPr>
        <w:t xml:space="preserve">No. </w:t>
      </w:r>
      <w:r w:rsidR="00ED6528" w:rsidRPr="00C04B19">
        <w:rPr>
          <w:rFonts w:ascii="Arial" w:hAnsi="Arial" w:cs="Arial"/>
          <w:color w:val="010000"/>
          <w:sz w:val="20"/>
        </w:rPr>
        <w:t>6</w:t>
      </w:r>
      <w:r w:rsidRPr="00C04B19">
        <w:rPr>
          <w:rFonts w:ascii="Arial" w:hAnsi="Arial" w:cs="Arial"/>
          <w:color w:val="010000"/>
          <w:sz w:val="20"/>
        </w:rPr>
        <w:t>.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 xml:space="preserve">‎‎Article 4. Develop new products in industrial production: Research and produce </w:t>
      </w:r>
      <w:proofErr w:type="spellStart"/>
      <w:r w:rsidR="00ED6528" w:rsidRPr="00C04B19">
        <w:rPr>
          <w:rFonts w:ascii="Arial" w:hAnsi="Arial" w:cs="Arial"/>
          <w:color w:val="010000"/>
          <w:sz w:val="20"/>
        </w:rPr>
        <w:t>prestressed</w:t>
      </w:r>
      <w:proofErr w:type="spellEnd"/>
      <w:r w:rsidR="00ED6528" w:rsidRPr="00C04B19">
        <w:rPr>
          <w:rFonts w:ascii="Arial" w:hAnsi="Arial" w:cs="Arial"/>
          <w:color w:val="010000"/>
          <w:sz w:val="20"/>
        </w:rPr>
        <w:t xml:space="preserve"> concrete sleepers </w:t>
      </w:r>
      <w:r w:rsidRPr="00C04B19">
        <w:rPr>
          <w:rFonts w:ascii="Arial" w:hAnsi="Arial" w:cs="Arial"/>
          <w:color w:val="010000"/>
          <w:sz w:val="20"/>
        </w:rPr>
        <w:t>installed for Tg1/9 rail</w:t>
      </w:r>
      <w:r w:rsidR="00D036A8" w:rsidRPr="00C04B19">
        <w:rPr>
          <w:rFonts w:ascii="Arial" w:hAnsi="Arial" w:cs="Arial"/>
          <w:color w:val="010000"/>
          <w:sz w:val="20"/>
        </w:rPr>
        <w:t>s</w:t>
      </w:r>
      <w:r w:rsidRPr="00C04B19">
        <w:rPr>
          <w:rFonts w:ascii="Arial" w:hAnsi="Arial" w:cs="Arial"/>
          <w:color w:val="010000"/>
          <w:sz w:val="20"/>
        </w:rPr>
        <w:t xml:space="preserve"> P43, sleepers labeled Tg1/10 P43, </w:t>
      </w:r>
      <w:r w:rsidR="00D036A8" w:rsidRPr="00C04B19">
        <w:rPr>
          <w:rFonts w:ascii="Arial" w:hAnsi="Arial" w:cs="Arial"/>
          <w:color w:val="010000"/>
          <w:sz w:val="20"/>
        </w:rPr>
        <w:t xml:space="preserve">sleepers for </w:t>
      </w:r>
      <w:proofErr w:type="spellStart"/>
      <w:r w:rsidR="00D036A8" w:rsidRPr="00C04B19">
        <w:rPr>
          <w:rFonts w:ascii="Arial" w:hAnsi="Arial" w:cs="Arial"/>
          <w:color w:val="010000"/>
          <w:sz w:val="20"/>
        </w:rPr>
        <w:t>Tg</w:t>
      </w:r>
      <w:proofErr w:type="spellEnd"/>
      <w:r w:rsidR="00D036A8" w:rsidRPr="00C04B19">
        <w:rPr>
          <w:rFonts w:ascii="Arial" w:hAnsi="Arial" w:cs="Arial"/>
          <w:color w:val="010000"/>
          <w:sz w:val="20"/>
        </w:rPr>
        <w:t>/1/10 P43 mixed gauge turnout</w:t>
      </w:r>
      <w:r w:rsidRPr="00C04B19">
        <w:rPr>
          <w:rFonts w:ascii="Arial" w:hAnsi="Arial" w:cs="Arial"/>
          <w:color w:val="010000"/>
          <w:sz w:val="20"/>
        </w:rPr>
        <w:t>, etc.</w:t>
      </w:r>
    </w:p>
    <w:p w:rsidR="00B40A59" w:rsidRPr="00C04B19" w:rsidRDefault="00C04B19" w:rsidP="00B64F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4B19">
        <w:rPr>
          <w:rFonts w:ascii="Arial" w:hAnsi="Arial" w:cs="Arial"/>
          <w:color w:val="010000"/>
          <w:sz w:val="20"/>
        </w:rPr>
        <w:t xml:space="preserve">‎‎Article 5. Terms enforcement: Assign the General Manager of the Company to implement and organize </w:t>
      </w:r>
      <w:r w:rsidRPr="00C04B19">
        <w:rPr>
          <w:rFonts w:ascii="Arial" w:hAnsi="Arial" w:cs="Arial"/>
          <w:color w:val="010000"/>
          <w:sz w:val="20"/>
        </w:rPr>
        <w:lastRenderedPageBreak/>
        <w:t>the implementation of this Resolution. This Resolution takes effect after its signing and information disclosure.</w:t>
      </w:r>
    </w:p>
    <w:sectPr w:rsidR="00B40A59" w:rsidRPr="00C04B19" w:rsidSect="00C04B1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258D"/>
    <w:multiLevelType w:val="multilevel"/>
    <w:tmpl w:val="6952C814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82B5243"/>
    <w:multiLevelType w:val="multilevel"/>
    <w:tmpl w:val="45C280AC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59"/>
    <w:rsid w:val="001401AD"/>
    <w:rsid w:val="00B40A59"/>
    <w:rsid w:val="00B64FC8"/>
    <w:rsid w:val="00C04B19"/>
    <w:rsid w:val="00CA2FB8"/>
    <w:rsid w:val="00D036A8"/>
    <w:rsid w:val="00E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A71F1A-2F42-451A-BE3C-1A651128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9"/>
      <w:szCs w:val="9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5"/>
      <w:szCs w:val="15"/>
    </w:rPr>
  </w:style>
  <w:style w:type="paragraph" w:customStyle="1" w:styleId="Heading11">
    <w:name w:val="Heading #1"/>
    <w:basedOn w:val="Normal"/>
    <w:link w:val="Heading10"/>
    <w:pPr>
      <w:ind w:left="4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1">
    <w:name w:val="Heading #2"/>
    <w:basedOn w:val="Normal"/>
    <w:link w:val="Heading20"/>
    <w:pPr>
      <w:spacing w:line="288" w:lineRule="auto"/>
      <w:ind w:left="249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9"/>
      <w:szCs w:val="9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64" w:lineRule="auto"/>
      <w:ind w:left="1680" w:firstLine="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pGWs6j/hw/fOHRaMr8rzLB10Q==">CgMxLjA4AHIhMWJVWDhsNmt0WVdLX040WHdRVEhEOXBYTVZMVGROb1Bl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1823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Quynh Trang</cp:lastModifiedBy>
  <cp:revision>5</cp:revision>
  <dcterms:created xsi:type="dcterms:W3CDTF">2024-07-25T03:04:00Z</dcterms:created>
  <dcterms:modified xsi:type="dcterms:W3CDTF">2024-07-26T03:43:00Z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0de79ea4967bdf68a1fb701fcdab1c0cbcc5731ca53d3b4cf365d830f1ca61cd</vt:lpwstr>
  </property>
</Properties>
</file>