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3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157609">
        <w:rPr>
          <w:rFonts w:ascii="Arial" w:hAnsi="Arial" w:cs="Arial"/>
          <w:b/>
          <w:color w:val="010000"/>
          <w:sz w:val="20"/>
        </w:rPr>
        <w:t>PAP: Board Resolution</w:t>
      </w:r>
    </w:p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On July 23, 2024, Petro Vietnam Phuoc An Port Investment &amp; Operation Joint Stock Company announced Resolution No. 71/NQ - PAP on </w:t>
      </w:r>
      <w:r w:rsidR="003F1FB1" w:rsidRPr="00157609">
        <w:rPr>
          <w:rFonts w:ascii="Arial" w:hAnsi="Arial" w:cs="Arial"/>
          <w:color w:val="010000"/>
          <w:sz w:val="20"/>
        </w:rPr>
        <w:t>a</w:t>
      </w:r>
      <w:r w:rsidRPr="00157609">
        <w:rPr>
          <w:rFonts w:ascii="Arial" w:hAnsi="Arial" w:cs="Arial"/>
          <w:color w:val="010000"/>
          <w:sz w:val="20"/>
        </w:rPr>
        <w:t xml:space="preserve">pproving the results of the Company's private placement as follows: </w:t>
      </w:r>
    </w:p>
    <w:p w:rsidR="003F1FB1" w:rsidRPr="00157609" w:rsidRDefault="003F1FB1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157609">
        <w:rPr>
          <w:rFonts w:ascii="Arial" w:hAnsi="Arial" w:cs="Arial"/>
          <w:color w:val="010000"/>
          <w:sz w:val="20"/>
        </w:rPr>
        <w:t>Article 1: Approve the end of the premature share distribution time</w:t>
      </w:r>
    </w:p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The Board of Directors decided not to continue distributing the remaining shares to other investors and decided to end </w:t>
      </w:r>
      <w:r w:rsidR="003F1FB1" w:rsidRPr="00157609">
        <w:rPr>
          <w:rFonts w:ascii="Arial" w:hAnsi="Arial" w:cs="Arial"/>
          <w:color w:val="010000"/>
          <w:sz w:val="20"/>
        </w:rPr>
        <w:t>the premature share distribution time</w:t>
      </w:r>
      <w:r w:rsidRPr="00157609">
        <w:rPr>
          <w:rFonts w:ascii="Arial" w:hAnsi="Arial" w:cs="Arial"/>
          <w:color w:val="010000"/>
          <w:sz w:val="20"/>
        </w:rPr>
        <w:t>, ending the Company's private placement at 4:00 p.m. July 23, 2024</w:t>
      </w:r>
    </w:p>
    <w:p w:rsidR="0084786B" w:rsidRPr="00157609" w:rsidRDefault="00157609" w:rsidP="001576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Article 2: Approve the results of the Company's private placement</w:t>
      </w:r>
    </w:p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The Board of Directors decided to approve the results of the Company's private placement as follows: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Share name: Shares of </w:t>
      </w:r>
      <w:r w:rsidR="003F1FB1" w:rsidRPr="00157609">
        <w:rPr>
          <w:rFonts w:ascii="Arial" w:hAnsi="Arial" w:cs="Arial"/>
          <w:color w:val="010000"/>
          <w:sz w:val="20"/>
        </w:rPr>
        <w:t>Petro Vietnam Phuoc An Port Investment &amp; Operation Joint Stock Company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Share type: Common shares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Par value: VND10,000/share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Number of offered shares: 38,000,000 shares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Number of shares registered and paid for: 32,000,000 shares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Number of </w:t>
      </w:r>
      <w:r w:rsidR="003F1FB1" w:rsidRPr="00157609">
        <w:rPr>
          <w:rFonts w:ascii="Arial" w:hAnsi="Arial" w:cs="Arial"/>
          <w:color w:val="010000"/>
          <w:sz w:val="20"/>
        </w:rPr>
        <w:t xml:space="preserve">distributed </w:t>
      </w:r>
      <w:r w:rsidRPr="00157609">
        <w:rPr>
          <w:rFonts w:ascii="Arial" w:hAnsi="Arial" w:cs="Arial"/>
          <w:color w:val="010000"/>
          <w:sz w:val="20"/>
        </w:rPr>
        <w:t>shares: 32,000,000 shares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Number of undistributed shares: 6,000,000 shares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Offering price: VND12,000/share</w:t>
      </w:r>
    </w:p>
    <w:p w:rsidR="0084786B" w:rsidRPr="00157609" w:rsidRDefault="003F1FB1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84786B" w:rsidRPr="00157609" w:rsidSect="00157609">
          <w:pgSz w:w="11907" w:h="16839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157609">
        <w:rPr>
          <w:rFonts w:ascii="Arial" w:hAnsi="Arial" w:cs="Arial"/>
          <w:color w:val="010000"/>
          <w:sz w:val="20"/>
        </w:rPr>
        <w:t>- List of investors to whom shares are distributed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9"/>
        <w:gridCol w:w="2519"/>
        <w:gridCol w:w="1711"/>
        <w:gridCol w:w="1437"/>
        <w:gridCol w:w="1349"/>
        <w:gridCol w:w="1452"/>
      </w:tblGrid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lastRenderedPageBreak/>
              <w:t xml:space="preserve">No. 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ID Card/Business Registration No.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 xml:space="preserve">Number of </w:t>
            </w:r>
            <w:r w:rsidR="003F1FB1" w:rsidRPr="00157609">
              <w:rPr>
                <w:rFonts w:ascii="Arial" w:hAnsi="Arial" w:cs="Arial"/>
                <w:color w:val="010000"/>
                <w:sz w:val="20"/>
              </w:rPr>
              <w:t xml:space="preserve">offered </w:t>
            </w:r>
            <w:r w:rsidRPr="00157609">
              <w:rPr>
                <w:rFonts w:ascii="Arial" w:hAnsi="Arial" w:cs="Arial"/>
                <w:color w:val="010000"/>
                <w:sz w:val="20"/>
              </w:rPr>
              <w:t>shares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Number of shares registered to purchase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 xml:space="preserve">Number of </w:t>
            </w:r>
            <w:r w:rsidR="003F1FB1" w:rsidRPr="00157609">
              <w:rPr>
                <w:rFonts w:ascii="Arial" w:hAnsi="Arial" w:cs="Arial"/>
                <w:color w:val="010000"/>
                <w:sz w:val="20"/>
              </w:rPr>
              <w:t xml:space="preserve">distributed </w:t>
            </w:r>
            <w:r w:rsidRPr="00157609">
              <w:rPr>
                <w:rFonts w:ascii="Arial" w:hAnsi="Arial" w:cs="Arial"/>
                <w:color w:val="010000"/>
                <w:sz w:val="20"/>
              </w:rPr>
              <w:t>shares</w:t>
            </w:r>
          </w:p>
        </w:tc>
      </w:tr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Nguyen Thanh Hoang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045084003300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</w:tr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Phan The Anh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042088009526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</w:tr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Tran Manh Cuong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040069000112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6,500,000</w:t>
            </w:r>
          </w:p>
        </w:tc>
      </w:tr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Banh Xuan Hoai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040082001061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8,500,000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8,500,000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8,500,000</w:t>
            </w:r>
          </w:p>
        </w:tc>
      </w:tr>
      <w:tr w:rsidR="0084786B" w:rsidRPr="00157609" w:rsidTr="00157609">
        <w:tc>
          <w:tcPr>
            <w:tcW w:w="30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3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Truong Cong Nghia</w:t>
            </w:r>
          </w:p>
        </w:tc>
        <w:tc>
          <w:tcPr>
            <w:tcW w:w="94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040077000406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10,000,000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4,000,000</w:t>
            </w:r>
          </w:p>
        </w:tc>
      </w:tr>
      <w:tr w:rsidR="0084786B" w:rsidRPr="00157609" w:rsidTr="00157609">
        <w:tc>
          <w:tcPr>
            <w:tcW w:w="2650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38,000,000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32,000,000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4786B" w:rsidRPr="00157609" w:rsidRDefault="00157609" w:rsidP="001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157609">
              <w:rPr>
                <w:rFonts w:ascii="Arial" w:hAnsi="Arial" w:cs="Arial"/>
                <w:color w:val="010000"/>
                <w:sz w:val="20"/>
              </w:rPr>
              <w:t>32,000,000</w:t>
            </w:r>
          </w:p>
        </w:tc>
      </w:tr>
    </w:tbl>
    <w:p w:rsidR="0084786B" w:rsidRPr="00157609" w:rsidRDefault="00157609" w:rsidP="001576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Article 3: Assign the Legal representative to carry out related tasks.</w:t>
      </w:r>
    </w:p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The Board of Directors </w:t>
      </w:r>
      <w:r w:rsidR="003F1FB1" w:rsidRPr="00157609">
        <w:rPr>
          <w:rFonts w:ascii="Arial" w:hAnsi="Arial" w:cs="Arial"/>
          <w:color w:val="010000"/>
          <w:sz w:val="20"/>
        </w:rPr>
        <w:t>approve</w:t>
      </w:r>
      <w:r w:rsidRPr="00157609">
        <w:rPr>
          <w:rFonts w:ascii="Arial" w:hAnsi="Arial" w:cs="Arial"/>
          <w:color w:val="010000"/>
          <w:sz w:val="20"/>
        </w:rPr>
        <w:t>d</w:t>
      </w:r>
      <w:r w:rsidR="003F1FB1" w:rsidRPr="00157609">
        <w:rPr>
          <w:rFonts w:ascii="Arial" w:hAnsi="Arial" w:cs="Arial"/>
          <w:color w:val="010000"/>
          <w:sz w:val="20"/>
        </w:rPr>
        <w:t xml:space="preserve"> on</w:t>
      </w:r>
      <w:r w:rsidRPr="00157609">
        <w:rPr>
          <w:rFonts w:ascii="Arial" w:hAnsi="Arial" w:cs="Arial"/>
          <w:color w:val="010000"/>
          <w:sz w:val="20"/>
        </w:rPr>
        <w:t xml:space="preserve"> assign</w:t>
      </w:r>
      <w:r w:rsidR="003F1FB1" w:rsidRPr="00157609">
        <w:rPr>
          <w:rFonts w:ascii="Arial" w:hAnsi="Arial" w:cs="Arial"/>
          <w:color w:val="010000"/>
          <w:sz w:val="20"/>
        </w:rPr>
        <w:t>ing</w:t>
      </w:r>
      <w:r w:rsidRPr="00157609">
        <w:rPr>
          <w:rFonts w:ascii="Arial" w:hAnsi="Arial" w:cs="Arial"/>
          <w:color w:val="010000"/>
          <w:sz w:val="20"/>
        </w:rPr>
        <w:t xml:space="preserve"> the the Legal Representative to carry out related tasks,</w:t>
      </w:r>
      <w:r w:rsidR="003F1FB1" w:rsidRPr="00157609">
        <w:rPr>
          <w:rFonts w:ascii="Arial" w:hAnsi="Arial" w:cs="Arial"/>
          <w:color w:val="010000"/>
          <w:sz w:val="20"/>
        </w:rPr>
        <w:t xml:space="preserve"> </w:t>
      </w:r>
      <w:r w:rsidRPr="00157609">
        <w:rPr>
          <w:rFonts w:ascii="Arial" w:hAnsi="Arial" w:cs="Arial"/>
          <w:color w:val="010000"/>
          <w:sz w:val="20"/>
        </w:rPr>
        <w:lastRenderedPageBreak/>
        <w:t>specifically: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Report on the </w:t>
      </w:r>
      <w:r w:rsidR="003F1FB1" w:rsidRPr="00157609">
        <w:rPr>
          <w:rFonts w:ascii="Arial" w:hAnsi="Arial" w:cs="Arial"/>
          <w:color w:val="010000"/>
          <w:sz w:val="20"/>
        </w:rPr>
        <w:t xml:space="preserve">offering </w:t>
      </w:r>
      <w:r w:rsidRPr="00157609">
        <w:rPr>
          <w:rFonts w:ascii="Arial" w:hAnsi="Arial" w:cs="Arial"/>
          <w:color w:val="010000"/>
          <w:sz w:val="20"/>
        </w:rPr>
        <w:t>results.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Implement capital audit.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Change the Business Registration Certificate, amend Clause 1, Article 6 of the Charter according to the changed amount of contributed capital. 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Register additional transactions at Hanoi Stock Exchange and register additional securities at Vietnam Securities Depository </w:t>
      </w:r>
      <w:r w:rsidR="003F1FB1" w:rsidRPr="00157609">
        <w:rPr>
          <w:rFonts w:ascii="Arial" w:hAnsi="Arial" w:cs="Arial"/>
          <w:color w:val="010000"/>
          <w:sz w:val="20"/>
        </w:rPr>
        <w:t>a</w:t>
      </w:r>
      <w:r w:rsidRPr="00157609">
        <w:rPr>
          <w:rFonts w:ascii="Arial" w:hAnsi="Arial" w:cs="Arial"/>
          <w:color w:val="010000"/>
          <w:sz w:val="20"/>
        </w:rPr>
        <w:t>nd Clearing Corporation for the additional shares offered.</w:t>
      </w:r>
    </w:p>
    <w:p w:rsidR="0084786B" w:rsidRPr="00157609" w:rsidRDefault="00157609" w:rsidP="00157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Other related works</w:t>
      </w:r>
    </w:p>
    <w:p w:rsidR="0084786B" w:rsidRPr="00157609" w:rsidRDefault="00157609" w:rsidP="0015760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>Article 4: Terms of enforcement</w:t>
      </w:r>
    </w:p>
    <w:p w:rsidR="0084786B" w:rsidRPr="00157609" w:rsidRDefault="00157609" w:rsidP="001576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57609">
        <w:rPr>
          <w:rFonts w:ascii="Arial" w:hAnsi="Arial" w:cs="Arial"/>
          <w:color w:val="010000"/>
          <w:sz w:val="20"/>
        </w:rPr>
        <w:t xml:space="preserve">This Resolution takes effect from the date of its signing. Members of the Board of Directors, the Board of Management and functional departments of the Company and </w:t>
      </w:r>
      <w:r w:rsidR="003F1FB1" w:rsidRPr="00157609">
        <w:rPr>
          <w:rFonts w:ascii="Arial" w:hAnsi="Arial" w:cs="Arial"/>
          <w:color w:val="010000"/>
          <w:sz w:val="20"/>
        </w:rPr>
        <w:t>affiliated</w:t>
      </w:r>
      <w:r w:rsidRPr="00157609">
        <w:rPr>
          <w:rFonts w:ascii="Arial" w:hAnsi="Arial" w:cs="Arial"/>
          <w:color w:val="010000"/>
          <w:sz w:val="20"/>
        </w:rPr>
        <w:t xml:space="preserve"> individuals are responsible for implementing this Resolution.</w:t>
      </w:r>
    </w:p>
    <w:sectPr w:rsidR="0084786B" w:rsidRPr="00157609" w:rsidSect="00157609">
      <w:type w:val="continuous"/>
      <w:pgSz w:w="11907" w:h="16839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394F"/>
    <w:multiLevelType w:val="multilevel"/>
    <w:tmpl w:val="9D24DD6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B"/>
    <w:rsid w:val="00157609"/>
    <w:rsid w:val="003F1FB1"/>
    <w:rsid w:val="0084786B"/>
    <w:rsid w:val="00F30B53"/>
    <w:rsid w:val="00F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08EEDC-FD61-4A20-8194-7063A1C4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31B43"/>
      <w:sz w:val="12"/>
      <w:szCs w:val="1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88" w:lineRule="auto"/>
      <w:ind w:left="270" w:firstLine="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ofcontents0">
    <w:name w:val="Table of contents"/>
    <w:basedOn w:val="Normal"/>
    <w:link w:val="Tableofcontents"/>
    <w:pPr>
      <w:ind w:left="540" w:firstLine="88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color w:val="A31B43"/>
      <w:sz w:val="12"/>
      <w:szCs w:val="12"/>
    </w:rPr>
  </w:style>
  <w:style w:type="paragraph" w:customStyle="1" w:styleId="Bodytext20">
    <w:name w:val="Body text (2)"/>
    <w:basedOn w:val="Normal"/>
    <w:link w:val="Bodytext2"/>
    <w:pPr>
      <w:ind w:firstLine="1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jVXQ041E06M4R0Wx1nGQHEk9w==">CgMxLjA4AHIhMTZIdExWeVpmOUljNC1ZTWRrdHBLcElLQUVRMVpXcXUy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Thu Giang</cp:lastModifiedBy>
  <cp:revision>2</cp:revision>
  <dcterms:created xsi:type="dcterms:W3CDTF">2024-07-26T02:30:00Z</dcterms:created>
  <dcterms:modified xsi:type="dcterms:W3CDTF">2024-07-26T02:30:00Z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5afa4ea7b6d7bb6a4cc7e8cd3ea0af8d3ac110bc72ceb470825f50da7f72bdc3</vt:lpwstr>
  </property>
</Properties>
</file>