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85C90" w:rsidRPr="003565BF" w:rsidRDefault="003565BF" w:rsidP="00F40AE9">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3565BF">
        <w:rPr>
          <w:rFonts w:ascii="Arial" w:hAnsi="Arial" w:cs="Arial"/>
          <w:b/>
          <w:bCs/>
          <w:color w:val="010000"/>
          <w:sz w:val="20"/>
        </w:rPr>
        <w:t>PV2:</w:t>
      </w:r>
      <w:r w:rsidRPr="003565BF">
        <w:rPr>
          <w:rFonts w:ascii="Arial" w:hAnsi="Arial" w:cs="Arial"/>
          <w:b/>
          <w:color w:val="010000"/>
          <w:sz w:val="20"/>
        </w:rPr>
        <w:t xml:space="preserve"> Report on overcoming the situation of securities put under alert</w:t>
      </w:r>
    </w:p>
    <w:p w14:paraId="00000002" w14:textId="77777777" w:rsidR="00585C90" w:rsidRPr="003565BF" w:rsidRDefault="003565BF" w:rsidP="00F40AE9">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3565BF">
        <w:rPr>
          <w:rFonts w:ascii="Arial" w:hAnsi="Arial" w:cs="Arial"/>
          <w:color w:val="010000"/>
          <w:sz w:val="20"/>
        </w:rPr>
        <w:t>On July 22, 2024, PV2 Investment JSC announced Official Dispatch No. 36/PV2-VP on reporting the situation of overcoming securities put under alert as fo</w:t>
      </w:r>
      <w:bookmarkStart w:id="0" w:name="_GoBack"/>
      <w:bookmarkEnd w:id="0"/>
      <w:r w:rsidRPr="003565BF">
        <w:rPr>
          <w:rFonts w:ascii="Arial" w:hAnsi="Arial" w:cs="Arial"/>
          <w:color w:val="010000"/>
          <w:sz w:val="20"/>
        </w:rPr>
        <w:t>llows:</w:t>
      </w:r>
    </w:p>
    <w:p w14:paraId="00000003" w14:textId="2D38D8FC" w:rsidR="00585C90" w:rsidRPr="003565BF" w:rsidRDefault="003565BF" w:rsidP="00F40AE9">
      <w:pPr>
        <w:numPr>
          <w:ilvl w:val="0"/>
          <w:numId w:val="1"/>
        </w:numPr>
        <w:pBdr>
          <w:top w:val="nil"/>
          <w:left w:val="nil"/>
          <w:bottom w:val="nil"/>
          <w:right w:val="nil"/>
          <w:between w:val="nil"/>
        </w:pBdr>
        <w:tabs>
          <w:tab w:val="left" w:pos="432"/>
          <w:tab w:val="left" w:pos="952"/>
        </w:tabs>
        <w:spacing w:after="120" w:line="360" w:lineRule="auto"/>
        <w:jc w:val="both"/>
        <w:rPr>
          <w:rFonts w:ascii="Arial" w:eastAsia="Arial" w:hAnsi="Arial" w:cs="Arial"/>
          <w:color w:val="010000"/>
          <w:sz w:val="20"/>
          <w:szCs w:val="20"/>
        </w:rPr>
      </w:pPr>
      <w:r w:rsidRPr="003565BF">
        <w:rPr>
          <w:rFonts w:ascii="Arial" w:eastAsia="Arial" w:hAnsi="Arial" w:cs="Arial"/>
          <w:color w:val="010000"/>
          <w:sz w:val="20"/>
          <w:szCs w:val="20"/>
        </w:rPr>
        <w:t>Based on the recognition and assessment of opportunities, challenges and risks, the Board of Directors and the Executive Board of PV2 Investment JSC have oriented the operations of PV2 Investment JSC in the coming time towards focusing on projects invested by the Company, continuing to divest and recover ineffective investments; searching for and investing in projects with real potential, controlling, saving and managing costs to achieve the highest business efficiency.</w:t>
      </w:r>
    </w:p>
    <w:p w14:paraId="00000004" w14:textId="77777777" w:rsidR="00585C90" w:rsidRPr="003565BF" w:rsidRDefault="003565BF" w:rsidP="00F40AE9">
      <w:pPr>
        <w:numPr>
          <w:ilvl w:val="0"/>
          <w:numId w:val="1"/>
        </w:numPr>
        <w:pBdr>
          <w:top w:val="nil"/>
          <w:left w:val="nil"/>
          <w:bottom w:val="nil"/>
          <w:right w:val="nil"/>
          <w:between w:val="nil"/>
        </w:pBdr>
        <w:tabs>
          <w:tab w:val="left" w:pos="432"/>
          <w:tab w:val="left" w:pos="962"/>
        </w:tabs>
        <w:spacing w:after="120" w:line="360" w:lineRule="auto"/>
        <w:jc w:val="both"/>
        <w:rPr>
          <w:rFonts w:ascii="Arial" w:eastAsia="Arial" w:hAnsi="Arial" w:cs="Arial"/>
          <w:color w:val="010000"/>
          <w:sz w:val="20"/>
          <w:szCs w:val="20"/>
        </w:rPr>
      </w:pPr>
      <w:r w:rsidRPr="003565BF">
        <w:rPr>
          <w:rFonts w:ascii="Arial" w:hAnsi="Arial" w:cs="Arial"/>
          <w:color w:val="010000"/>
          <w:sz w:val="20"/>
        </w:rPr>
        <w:t>In management and administration, the Company continues to review and amend the system of internal regulations on corporate governance to ensure that the Company's governance system gradually approaches the best corporate governance practices, consistent with the Company's characteristics.</w:t>
      </w:r>
    </w:p>
    <w:p w14:paraId="00000005" w14:textId="77777777" w:rsidR="00585C90" w:rsidRPr="003565BF" w:rsidRDefault="003565BF" w:rsidP="00F40AE9">
      <w:pPr>
        <w:numPr>
          <w:ilvl w:val="0"/>
          <w:numId w:val="1"/>
        </w:numPr>
        <w:pBdr>
          <w:top w:val="nil"/>
          <w:left w:val="nil"/>
          <w:bottom w:val="nil"/>
          <w:right w:val="nil"/>
          <w:between w:val="nil"/>
        </w:pBdr>
        <w:tabs>
          <w:tab w:val="left" w:pos="432"/>
          <w:tab w:val="left" w:pos="962"/>
        </w:tabs>
        <w:spacing w:after="120" w:line="360" w:lineRule="auto"/>
        <w:jc w:val="both"/>
        <w:rPr>
          <w:rFonts w:ascii="Arial" w:eastAsia="Arial" w:hAnsi="Arial" w:cs="Arial"/>
          <w:color w:val="010000"/>
          <w:sz w:val="20"/>
          <w:szCs w:val="20"/>
        </w:rPr>
      </w:pPr>
      <w:r w:rsidRPr="003565BF">
        <w:rPr>
          <w:rFonts w:ascii="Arial" w:hAnsi="Arial" w:cs="Arial"/>
          <w:color w:val="010000"/>
          <w:sz w:val="20"/>
        </w:rPr>
        <w:t>In Q2/2024, due to the sharp decrease in the amount of money participating in business cooperation contracts, profit from this activity will have a profound impact on the Company's overall business results. However, if calculated cumulatively until June 30, 2024, the Company still has a profit after tax of VND2.03 billion.</w:t>
      </w:r>
    </w:p>
    <w:p w14:paraId="00000006" w14:textId="78E905B9" w:rsidR="00585C90" w:rsidRPr="003565BF" w:rsidRDefault="003565BF" w:rsidP="00F40AE9">
      <w:pPr>
        <w:numPr>
          <w:ilvl w:val="0"/>
          <w:numId w:val="1"/>
        </w:numPr>
        <w:pBdr>
          <w:top w:val="nil"/>
          <w:left w:val="nil"/>
          <w:bottom w:val="nil"/>
          <w:right w:val="nil"/>
          <w:between w:val="nil"/>
        </w:pBdr>
        <w:tabs>
          <w:tab w:val="left" w:pos="432"/>
          <w:tab w:val="left" w:pos="952"/>
        </w:tabs>
        <w:spacing w:after="120" w:line="360" w:lineRule="auto"/>
        <w:jc w:val="both"/>
        <w:rPr>
          <w:rFonts w:ascii="Arial" w:eastAsia="Arial" w:hAnsi="Arial" w:cs="Arial"/>
          <w:color w:val="010000"/>
          <w:sz w:val="20"/>
          <w:szCs w:val="20"/>
        </w:rPr>
      </w:pPr>
      <w:r w:rsidRPr="003565BF">
        <w:rPr>
          <w:rFonts w:ascii="Arial" w:hAnsi="Arial" w:cs="Arial"/>
          <w:color w:val="010000"/>
          <w:sz w:val="20"/>
        </w:rPr>
        <w:t>The Company's current projects are still in the implementation process and have not yet reached the time of revenue recognition. Currently, the Company's Board of Leaders is looking for new investment projects, hoping to bring sustainable revenue to the Company</w:t>
      </w:r>
    </w:p>
    <w:sectPr w:rsidR="00585C90" w:rsidRPr="003565BF" w:rsidSect="003565BF">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altName w:val="Times New Roman"/>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149CE"/>
    <w:multiLevelType w:val="multilevel"/>
    <w:tmpl w:val="4D68FA08"/>
    <w:lvl w:ilvl="0">
      <w:start w:val="1"/>
      <w:numFmt w:val="bullet"/>
      <w:lvlText w:val="-"/>
      <w:lvlJc w:val="left"/>
      <w:pPr>
        <w:ind w:left="0" w:firstLine="0"/>
      </w:pPr>
      <w:rPr>
        <w:rFonts w:ascii="Arial" w:eastAsia="Arial" w:hAnsi="Arial" w:cs="Arial"/>
        <w:b w:val="0"/>
        <w:i w:val="0"/>
        <w:smallCaps w:val="0"/>
        <w:strike w:val="0"/>
        <w:color w:val="676767"/>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C90"/>
    <w:rsid w:val="003565BF"/>
    <w:rsid w:val="00585C90"/>
    <w:rsid w:val="00F40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93A885"/>
  <w15:docId w15:val="{D0B9087E-284D-457A-84A8-7186B91F8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3">
    <w:name w:val="Văn bản nội dung (3)_"/>
    <w:basedOn w:val="DefaultParagraphFont"/>
    <w:link w:val="Vnbnnidung30"/>
    <w:rPr>
      <w:rFonts w:ascii="Arial" w:eastAsia="Arial" w:hAnsi="Arial" w:cs="Arial"/>
      <w:b w:val="0"/>
      <w:bCs w:val="0"/>
      <w:i w:val="0"/>
      <w:iCs w:val="0"/>
      <w:smallCaps w:val="0"/>
      <w:strike w:val="0"/>
      <w:sz w:val="10"/>
      <w:szCs w:val="10"/>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color w:val="222222"/>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Vnbnnidung30">
    <w:name w:val="Văn bản nội dung (3)"/>
    <w:basedOn w:val="Normal"/>
    <w:link w:val="Vnbnnidung3"/>
    <w:pPr>
      <w:spacing w:line="221" w:lineRule="auto"/>
    </w:pPr>
    <w:rPr>
      <w:rFonts w:ascii="Arial" w:eastAsia="Arial" w:hAnsi="Arial" w:cs="Arial"/>
      <w:sz w:val="10"/>
      <w:szCs w:val="10"/>
    </w:rPr>
  </w:style>
  <w:style w:type="paragraph" w:customStyle="1" w:styleId="Vnbnnidung0">
    <w:name w:val="Văn bản nội dung"/>
    <w:basedOn w:val="Normal"/>
    <w:link w:val="Vnbnnidung"/>
    <w:pPr>
      <w:spacing w:line="262" w:lineRule="auto"/>
      <w:ind w:firstLine="400"/>
    </w:pPr>
    <w:rPr>
      <w:rFonts w:ascii="Times New Roman" w:eastAsia="Times New Roman" w:hAnsi="Times New Roman" w:cs="Times New Roman"/>
      <w:color w:val="222222"/>
    </w:rPr>
  </w:style>
  <w:style w:type="paragraph" w:customStyle="1" w:styleId="Vnbnnidung20">
    <w:name w:val="Văn bản nội dung (2)"/>
    <w:basedOn w:val="Normal"/>
    <w:link w:val="Vnbnnidung2"/>
    <w:pPr>
      <w:ind w:left="1460"/>
    </w:pPr>
    <w:rPr>
      <w:rFonts w:ascii="Times New Roman" w:eastAsia="Times New Roman" w:hAnsi="Times New Roman" w:cs="Times New Roman"/>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tmW5hpR4SXo14IEOsupOI2X0iQ==">CgMxLjA4AHIhMVpSa1FTTTBDWF9UWEExWm8zMEVJcDYxYV84WEhzTXBE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236</Words>
  <Characters>1346</Characters>
  <Application>Microsoft Office Word</Application>
  <DocSecurity>0</DocSecurity>
  <Lines>11</Lines>
  <Paragraphs>3</Paragraphs>
  <ScaleCrop>false</ScaleCrop>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3</cp:revision>
  <dcterms:created xsi:type="dcterms:W3CDTF">2024-07-25T03:46:00Z</dcterms:created>
  <dcterms:modified xsi:type="dcterms:W3CDTF">2024-07-26T02:14:00Z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ad75dc238bab39c0b9803b4271fb327a2b89470f42eb3d80d269474b97172546</vt:lpwstr>
  </property>
</Properties>
</file>