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54712" w14:textId="77777777" w:rsidR="007F23C6" w:rsidRPr="003017F0" w:rsidRDefault="002B5835" w:rsidP="003017F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3017F0">
        <w:rPr>
          <w:rFonts w:ascii="Arial" w:hAnsi="Arial" w:cs="Arial"/>
          <w:b/>
          <w:sz w:val="20"/>
          <w:szCs w:val="20"/>
        </w:rPr>
        <w:t>BDT: Annual General Mandate 2024</w:t>
      </w:r>
    </w:p>
    <w:p w14:paraId="46B47ECA" w14:textId="77777777" w:rsidR="007F23C6" w:rsidRPr="003017F0" w:rsidRDefault="002B5835" w:rsidP="003017F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 xml:space="preserve">On June 26, 2024, Dong </w:t>
      </w:r>
      <w:proofErr w:type="spellStart"/>
      <w:r w:rsidRPr="003017F0">
        <w:rPr>
          <w:rFonts w:ascii="Arial" w:hAnsi="Arial" w:cs="Arial"/>
          <w:sz w:val="20"/>
          <w:szCs w:val="20"/>
        </w:rPr>
        <w:t>Thap</w:t>
      </w:r>
      <w:proofErr w:type="spellEnd"/>
      <w:r w:rsidRPr="003017F0">
        <w:rPr>
          <w:rFonts w:ascii="Arial" w:hAnsi="Arial" w:cs="Arial"/>
          <w:sz w:val="20"/>
          <w:szCs w:val="20"/>
        </w:rPr>
        <w:t xml:space="preserve"> Building Materials &amp; Construction Joint Stock Company announced General Mandate No.01/NQ-DHDCDTN.2024 as follows:</w:t>
      </w:r>
    </w:p>
    <w:p w14:paraId="1570F1F6" w14:textId="77777777" w:rsidR="007F23C6" w:rsidRPr="003017F0" w:rsidRDefault="002B5835" w:rsidP="003017F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>‎‎Article 1. The General Meeting of Shareholders approves unanimously on voting the following contents:</w:t>
      </w:r>
    </w:p>
    <w:p w14:paraId="28FF3765" w14:textId="77777777" w:rsidR="007F23C6" w:rsidRPr="003017F0" w:rsidRDefault="002B5835" w:rsidP="00301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>Approve the Report of the Board of Directors.</w:t>
      </w:r>
    </w:p>
    <w:p w14:paraId="61FCED0A" w14:textId="77777777" w:rsidR="007F23C6" w:rsidRPr="003017F0" w:rsidRDefault="002B5835" w:rsidP="00301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>Approve the Report of the Board of Management</w:t>
      </w:r>
    </w:p>
    <w:p w14:paraId="3F1E802F" w14:textId="77777777" w:rsidR="007F23C6" w:rsidRPr="003017F0" w:rsidRDefault="002B5835" w:rsidP="00301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>Approve the Report of the Supervisory Board;</w:t>
      </w:r>
    </w:p>
    <w:p w14:paraId="102865F7" w14:textId="77777777" w:rsidR="007F23C6" w:rsidRPr="003017F0" w:rsidRDefault="002B5835" w:rsidP="00301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>Approve the Audited Financial Statements 2023.</w:t>
      </w:r>
    </w:p>
    <w:p w14:paraId="78DC74DE" w14:textId="77777777" w:rsidR="007F23C6" w:rsidRPr="003017F0" w:rsidRDefault="002B5835" w:rsidP="00301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>Approve on profit distribution Plan 2023, particularly as follows:</w:t>
      </w:r>
    </w:p>
    <w:tbl>
      <w:tblPr>
        <w:tblStyle w:val="a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4713"/>
        <w:gridCol w:w="673"/>
        <w:gridCol w:w="1887"/>
        <w:gridCol w:w="1077"/>
      </w:tblGrid>
      <w:tr w:rsidR="007F23C6" w:rsidRPr="003017F0" w14:paraId="21B6C9F3" w14:textId="77777777">
        <w:trPr>
          <w:trHeight w:val="1580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C7C5512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471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8D86716" w14:textId="401DD1B3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TARGETS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0F77EC5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1C74C37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3B2E98F" w14:textId="6DF1796D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RESULTS</w:t>
            </w:r>
            <w:r w:rsidR="001420E5" w:rsidRPr="003017F0">
              <w:rPr>
                <w:rFonts w:ascii="Arial" w:hAnsi="Arial" w:cs="Arial"/>
                <w:sz w:val="20"/>
                <w:szCs w:val="20"/>
              </w:rPr>
              <w:t xml:space="preserve"> 2023</w:t>
            </w:r>
            <w:r w:rsidRPr="003017F0">
              <w:rPr>
                <w:rFonts w:ascii="Arial" w:hAnsi="Arial" w:cs="Arial"/>
                <w:sz w:val="20"/>
                <w:szCs w:val="20"/>
              </w:rPr>
              <w:t>/PLAN 2023 (%)</w:t>
            </w:r>
          </w:p>
        </w:tc>
      </w:tr>
      <w:tr w:rsidR="007F23C6" w:rsidRPr="003017F0" w14:paraId="03554027" w14:textId="77777777">
        <w:trPr>
          <w:trHeight w:val="324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C6E2F30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1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A154252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C9DFD43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409B308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325FC85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F23C6" w:rsidRPr="003017F0" w14:paraId="0734A195" w14:textId="77777777">
        <w:trPr>
          <w:trHeight w:val="410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88AD6BB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71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15CB77B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Charter capital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CF79152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08ED401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386,000,000,000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2267E7CE" w14:textId="77777777" w:rsidR="007F23C6" w:rsidRPr="003017F0" w:rsidRDefault="007F23C6" w:rsidP="003017F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3C6" w:rsidRPr="003017F0" w14:paraId="138F8FF8" w14:textId="77777777">
        <w:trPr>
          <w:trHeight w:val="356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</w:tcPr>
          <w:p w14:paraId="09277925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13" w:type="dxa"/>
            <w:shd w:val="clear" w:color="auto" w:fill="FFFFFF"/>
            <w:tcMar>
              <w:top w:w="0" w:type="dxa"/>
              <w:bottom w:w="0" w:type="dxa"/>
            </w:tcMar>
          </w:tcPr>
          <w:p w14:paraId="4A5F33C4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Charter capital is distributed as dividends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bottom w:w="0" w:type="dxa"/>
            </w:tcMar>
          </w:tcPr>
          <w:p w14:paraId="4151D04D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bottom w:w="0" w:type="dxa"/>
            </w:tcMar>
          </w:tcPr>
          <w:p w14:paraId="7AB0FB9A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385,954,000,000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72B136C8" w14:textId="77777777" w:rsidR="007F23C6" w:rsidRPr="003017F0" w:rsidRDefault="007F23C6" w:rsidP="003017F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3C6" w:rsidRPr="003017F0" w14:paraId="6AEF2251" w14:textId="77777777">
        <w:trPr>
          <w:trHeight w:val="356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</w:tcPr>
          <w:p w14:paraId="0592D392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13" w:type="dxa"/>
            <w:shd w:val="clear" w:color="auto" w:fill="FFFFFF"/>
            <w:tcMar>
              <w:top w:w="0" w:type="dxa"/>
              <w:bottom w:w="0" w:type="dxa"/>
            </w:tcMar>
          </w:tcPr>
          <w:p w14:paraId="6CCB3D89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Treasury shares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bottom w:w="0" w:type="dxa"/>
            </w:tcMar>
          </w:tcPr>
          <w:p w14:paraId="4C04A522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bottom w:w="0" w:type="dxa"/>
            </w:tcMar>
          </w:tcPr>
          <w:p w14:paraId="693FE6A3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46,000,000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537FDA86" w14:textId="77777777" w:rsidR="007F23C6" w:rsidRPr="003017F0" w:rsidRDefault="007F23C6" w:rsidP="003017F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3C6" w:rsidRPr="003017F0" w14:paraId="633247E1" w14:textId="77777777">
        <w:trPr>
          <w:trHeight w:val="407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3045CE2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71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96C33D4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Results of production and business activities in 2023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bottom w:w="0" w:type="dxa"/>
            </w:tcMar>
          </w:tcPr>
          <w:p w14:paraId="170D0AE2" w14:textId="77777777" w:rsidR="007F23C6" w:rsidRPr="003017F0" w:rsidRDefault="007F23C6" w:rsidP="003017F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FFFFFF"/>
            <w:tcMar>
              <w:top w:w="0" w:type="dxa"/>
              <w:bottom w:w="0" w:type="dxa"/>
            </w:tcMar>
          </w:tcPr>
          <w:p w14:paraId="6A6742C9" w14:textId="77777777" w:rsidR="007F23C6" w:rsidRPr="003017F0" w:rsidRDefault="007F23C6" w:rsidP="003017F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167A0C30" w14:textId="77777777" w:rsidR="007F23C6" w:rsidRPr="003017F0" w:rsidRDefault="007F23C6" w:rsidP="003017F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3C6" w:rsidRPr="003017F0" w14:paraId="18954D77" w14:textId="77777777">
        <w:trPr>
          <w:trHeight w:val="374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AFC76A8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1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260BE6E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4767307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F27B10E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474,531,929,088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0C033EF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63.27%</w:t>
            </w:r>
          </w:p>
        </w:tc>
      </w:tr>
      <w:tr w:rsidR="007F23C6" w:rsidRPr="003017F0" w14:paraId="6E394AB9" w14:textId="77777777">
        <w:trPr>
          <w:trHeight w:val="382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2C9889A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1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88A4286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Total expense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6B2712ED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50DFEDD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421,481,982,552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14F74C5D" w14:textId="77777777" w:rsidR="007F23C6" w:rsidRPr="003017F0" w:rsidRDefault="007F23C6" w:rsidP="003017F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3C6" w:rsidRPr="003017F0" w14:paraId="4AAA34A9" w14:textId="77777777">
        <w:trPr>
          <w:trHeight w:val="378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</w:tcPr>
          <w:p w14:paraId="26F48B3A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13" w:type="dxa"/>
            <w:shd w:val="clear" w:color="auto" w:fill="FFFFFF"/>
            <w:tcMar>
              <w:top w:w="0" w:type="dxa"/>
              <w:bottom w:w="0" w:type="dxa"/>
            </w:tcMar>
          </w:tcPr>
          <w:p w14:paraId="0E8DF8D4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bottom w:w="0" w:type="dxa"/>
            </w:tcMar>
          </w:tcPr>
          <w:p w14:paraId="778F9ECD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bottom w:w="0" w:type="dxa"/>
            </w:tcMar>
          </w:tcPr>
          <w:p w14:paraId="5BCC0ABE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53,049,946,536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3DC506FF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39.30%</w:t>
            </w:r>
          </w:p>
        </w:tc>
      </w:tr>
      <w:tr w:rsidR="007F23C6" w:rsidRPr="003017F0" w14:paraId="01928E56" w14:textId="77777777">
        <w:trPr>
          <w:trHeight w:val="364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</w:tcPr>
          <w:p w14:paraId="7EB310EE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13" w:type="dxa"/>
            <w:shd w:val="clear" w:color="auto" w:fill="FFFFFF"/>
            <w:tcMar>
              <w:top w:w="0" w:type="dxa"/>
              <w:bottom w:w="0" w:type="dxa"/>
            </w:tcMar>
          </w:tcPr>
          <w:p w14:paraId="369D7CFD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Corporate income tax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bottom w:w="0" w:type="dxa"/>
            </w:tcMar>
          </w:tcPr>
          <w:p w14:paraId="52D0B992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bottom w:w="0" w:type="dxa"/>
            </w:tcMar>
          </w:tcPr>
          <w:p w14:paraId="2C6BF0B4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11,444,107,940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43FDFAFD" w14:textId="77777777" w:rsidR="007F23C6" w:rsidRPr="003017F0" w:rsidRDefault="007F23C6" w:rsidP="003017F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3C6" w:rsidRPr="003017F0" w14:paraId="1C719802" w14:textId="77777777">
        <w:trPr>
          <w:trHeight w:val="414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</w:tcPr>
          <w:p w14:paraId="6E6B2539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3" w:type="dxa"/>
            <w:shd w:val="clear" w:color="auto" w:fill="FFFFFF"/>
            <w:tcMar>
              <w:top w:w="0" w:type="dxa"/>
              <w:bottom w:w="0" w:type="dxa"/>
            </w:tcMar>
          </w:tcPr>
          <w:p w14:paraId="1F7FED74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bottom w:w="0" w:type="dxa"/>
            </w:tcMar>
          </w:tcPr>
          <w:p w14:paraId="09C52FD2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bottom w:w="0" w:type="dxa"/>
            </w:tcMar>
          </w:tcPr>
          <w:p w14:paraId="6CC83300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41,605,838,596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7596B2E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38.52%</w:t>
            </w:r>
          </w:p>
        </w:tc>
      </w:tr>
      <w:tr w:rsidR="007F23C6" w:rsidRPr="003017F0" w14:paraId="41BC435E" w14:textId="77777777">
        <w:trPr>
          <w:trHeight w:val="716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CE14577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471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932BDAB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Profit distribution after tax following to activities results 2023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AA3485A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51B68A8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41,605,838,596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178AC535" w14:textId="77777777" w:rsidR="007F23C6" w:rsidRPr="003017F0" w:rsidRDefault="007F23C6" w:rsidP="003017F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3C6" w:rsidRPr="003017F0" w14:paraId="751023D1" w14:textId="77777777">
        <w:trPr>
          <w:trHeight w:val="605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714111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13" w:type="dxa"/>
            <w:shd w:val="clear" w:color="auto" w:fill="FFFFFF"/>
            <w:tcMar>
              <w:top w:w="0" w:type="dxa"/>
              <w:bottom w:w="0" w:type="dxa"/>
            </w:tcMar>
          </w:tcPr>
          <w:p w14:paraId="09DA13CD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Appropriation for Investment and Development fund (allocate 30% of profit after tax)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E36653C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7D66664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12,481,751,579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572301FD" w14:textId="77777777" w:rsidR="007F23C6" w:rsidRPr="003017F0" w:rsidRDefault="007F23C6" w:rsidP="003017F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3C6" w:rsidRPr="003017F0" w14:paraId="77DDBFDD" w14:textId="77777777">
        <w:trPr>
          <w:trHeight w:val="403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73B1220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1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032F938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Appropriation for bonus and welfare fund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E8F9789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5B53378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4,764,956,250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33845C82" w14:textId="77777777" w:rsidR="007F23C6" w:rsidRPr="003017F0" w:rsidRDefault="007F23C6" w:rsidP="003017F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3C6" w:rsidRPr="003017F0" w14:paraId="43235F2C" w14:textId="77777777">
        <w:trPr>
          <w:trHeight w:val="652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167CEC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71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6C3121F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Appropriation for Bonus, welfare Fund for Employees (allocate 10.868% of profit after tax)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9B056E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A2C2274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4,521,956,250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3A329FA5" w14:textId="77777777" w:rsidR="007F23C6" w:rsidRPr="003017F0" w:rsidRDefault="007F23C6" w:rsidP="003017F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3C6" w:rsidRPr="003017F0" w14:paraId="3FC51314" w14:textId="77777777">
        <w:trPr>
          <w:trHeight w:val="1231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F06F9D8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lastRenderedPageBreak/>
              <w:t>b</w:t>
            </w:r>
          </w:p>
        </w:tc>
        <w:tc>
          <w:tcPr>
            <w:tcW w:w="471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9ABABAA" w14:textId="3A7870B6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 xml:space="preserve">Appropriation for Bonus fund for the management officer (equal to 01 month’s salary of the management officer </w:t>
            </w:r>
            <w:r w:rsidR="003017F0">
              <w:rPr>
                <w:rFonts w:ascii="Arial" w:hAnsi="Arial" w:cs="Arial"/>
                <w:sz w:val="20"/>
                <w:szCs w:val="20"/>
              </w:rPr>
              <w:t>following</w:t>
            </w:r>
            <w:r w:rsidRPr="003017F0">
              <w:rPr>
                <w:rFonts w:ascii="Arial" w:hAnsi="Arial" w:cs="Arial"/>
                <w:sz w:val="20"/>
                <w:szCs w:val="20"/>
              </w:rPr>
              <w:t xml:space="preserve"> results due to not achieving </w:t>
            </w:r>
            <w:r w:rsidR="003017F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017F0">
              <w:rPr>
                <w:rFonts w:ascii="Arial" w:hAnsi="Arial" w:cs="Arial"/>
                <w:sz w:val="20"/>
                <w:szCs w:val="20"/>
              </w:rPr>
              <w:t>plan, equal to 0.584% of profit after tax)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9E54438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B76D94F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243,000,000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697B71AE" w14:textId="77777777" w:rsidR="007F23C6" w:rsidRPr="003017F0" w:rsidRDefault="007F23C6" w:rsidP="003017F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3C6" w:rsidRPr="003017F0" w14:paraId="4B1096F9" w14:textId="77777777">
        <w:trPr>
          <w:trHeight w:val="1210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679AB34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1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4A9A191" w14:textId="329C8A75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 xml:space="preserve">Remuneration for the Board of Directors, the Supervisory Board and the person in charge of corporate governance, the Secretariat of the Company’s Board of Directors (calculated </w:t>
            </w:r>
            <w:r w:rsidR="003017F0">
              <w:rPr>
                <w:rFonts w:ascii="Arial" w:hAnsi="Arial" w:cs="Arial"/>
                <w:sz w:val="20"/>
                <w:szCs w:val="20"/>
              </w:rPr>
              <w:t>based on</w:t>
            </w:r>
            <w:r w:rsidRPr="003017F0">
              <w:rPr>
                <w:rFonts w:ascii="Arial" w:hAnsi="Arial" w:cs="Arial"/>
                <w:sz w:val="20"/>
                <w:szCs w:val="20"/>
              </w:rPr>
              <w:t xml:space="preserve"> realized expenses, equal to 0.46% of profit after tax)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AA7E993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6B8AB8F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191,455,000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459A49DE" w14:textId="77777777" w:rsidR="007F23C6" w:rsidRPr="003017F0" w:rsidRDefault="007F23C6" w:rsidP="003017F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3C6" w:rsidRPr="003017F0" w14:paraId="46B035A8" w14:textId="77777777">
        <w:trPr>
          <w:trHeight w:val="1008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67CB9AE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1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9EC1F48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Dividend payment for shareholders (allocate 58.09% of profit after tax, equal to 6.26% on charter capital distributed as dividends)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278C32E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DE49421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24,167,675,767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3513765A" w14:textId="77777777" w:rsidR="007F23C6" w:rsidRPr="003017F0" w:rsidRDefault="007F23C6" w:rsidP="003017F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3C6" w:rsidRPr="003017F0" w14:paraId="6B1BBBF0" w14:textId="77777777">
        <w:trPr>
          <w:trHeight w:val="583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1075B80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471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24E25CD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Salary fund is allocated following to activities results 2023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B0CFD51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C5EF014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48,941,000,000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712D1F6E" w14:textId="77777777" w:rsidR="007F23C6" w:rsidRPr="003017F0" w:rsidRDefault="007F23C6" w:rsidP="003017F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3C6" w:rsidRPr="003017F0" w14:paraId="4FD16413" w14:textId="77777777">
        <w:trPr>
          <w:trHeight w:val="360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2205E57E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1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5741DDA0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Salary fund of the management officer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4E02E93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7678302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2,916,000,000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5919DA1D" w14:textId="77777777" w:rsidR="007F23C6" w:rsidRPr="003017F0" w:rsidRDefault="007F23C6" w:rsidP="003017F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3C6" w:rsidRPr="003017F0" w14:paraId="5260D500" w14:textId="77777777">
        <w:trPr>
          <w:trHeight w:val="446"/>
        </w:trPr>
        <w:tc>
          <w:tcPr>
            <w:tcW w:w="669" w:type="dxa"/>
            <w:shd w:val="clear" w:color="auto" w:fill="FFFFFF"/>
            <w:tcMar>
              <w:top w:w="0" w:type="dxa"/>
              <w:bottom w:w="0" w:type="dxa"/>
            </w:tcMar>
          </w:tcPr>
          <w:p w14:paraId="2EF90911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13" w:type="dxa"/>
            <w:shd w:val="clear" w:color="auto" w:fill="FFFFFF"/>
            <w:tcMar>
              <w:top w:w="0" w:type="dxa"/>
              <w:bottom w:w="0" w:type="dxa"/>
            </w:tcMar>
          </w:tcPr>
          <w:p w14:paraId="22DD94B0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Salary fund for employees</w:t>
            </w:r>
          </w:p>
        </w:tc>
        <w:tc>
          <w:tcPr>
            <w:tcW w:w="673" w:type="dxa"/>
            <w:shd w:val="clear" w:color="auto" w:fill="FFFFFF"/>
            <w:tcMar>
              <w:top w:w="0" w:type="dxa"/>
              <w:bottom w:w="0" w:type="dxa"/>
            </w:tcMar>
          </w:tcPr>
          <w:p w14:paraId="299DF0AA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7" w:type="dxa"/>
            <w:shd w:val="clear" w:color="auto" w:fill="FFFFFF"/>
            <w:tcMar>
              <w:top w:w="0" w:type="dxa"/>
              <w:bottom w:w="0" w:type="dxa"/>
            </w:tcMar>
          </w:tcPr>
          <w:p w14:paraId="2B268399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46,025,000,000</w:t>
            </w:r>
          </w:p>
        </w:tc>
        <w:tc>
          <w:tcPr>
            <w:tcW w:w="1077" w:type="dxa"/>
            <w:shd w:val="clear" w:color="auto" w:fill="FFFFFF"/>
            <w:tcMar>
              <w:top w:w="0" w:type="dxa"/>
              <w:bottom w:w="0" w:type="dxa"/>
            </w:tcMar>
          </w:tcPr>
          <w:p w14:paraId="7F935640" w14:textId="77777777" w:rsidR="007F23C6" w:rsidRPr="003017F0" w:rsidRDefault="007F23C6" w:rsidP="003017F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7D855A9" w14:textId="77777777" w:rsidR="007F23C6" w:rsidRPr="003017F0" w:rsidRDefault="002B5835" w:rsidP="003017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>Approve plan on production and business 2024, particularly as follows:</w:t>
      </w:r>
    </w:p>
    <w:tbl>
      <w:tblPr>
        <w:tblStyle w:val="a0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5701"/>
        <w:gridCol w:w="808"/>
        <w:gridCol w:w="1885"/>
      </w:tblGrid>
      <w:tr w:rsidR="007F23C6" w:rsidRPr="003017F0" w14:paraId="0E2A4C99" w14:textId="77777777" w:rsidTr="003017F0">
        <w:trPr>
          <w:trHeight w:val="778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15B2D7A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1EC8F8A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CAPITAL TARGETS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B4B8276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AD8E733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7F23C6" w:rsidRPr="003017F0" w14:paraId="02802CF5" w14:textId="77777777" w:rsidTr="003017F0">
        <w:trPr>
          <w:trHeight w:val="324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7C93E7C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4E6ED7AA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D546C94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AD618BE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F23C6" w:rsidRPr="003017F0" w14:paraId="20C00418" w14:textId="77777777" w:rsidTr="003017F0">
        <w:trPr>
          <w:trHeight w:val="472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A497744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F713164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Charter capital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48090F3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03459DB6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386,000,000.000</w:t>
            </w:r>
          </w:p>
        </w:tc>
      </w:tr>
      <w:tr w:rsidR="007F23C6" w:rsidRPr="003017F0" w14:paraId="2A8F3051" w14:textId="77777777" w:rsidTr="003017F0">
        <w:trPr>
          <w:trHeight w:val="425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169D050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3692B08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Charter capital is distributed as dividends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4A4C4ED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0237012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385,954,000,000</w:t>
            </w:r>
          </w:p>
        </w:tc>
      </w:tr>
      <w:tr w:rsidR="007F23C6" w:rsidRPr="003017F0" w14:paraId="16EC02DF" w14:textId="77777777" w:rsidTr="003017F0">
        <w:trPr>
          <w:trHeight w:val="432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</w:tcPr>
          <w:p w14:paraId="523D5BBB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</w:tcPr>
          <w:p w14:paraId="16F4F9A4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Treasury shares of the Company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</w:tcPr>
          <w:p w14:paraId="4F19C0D9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</w:tcPr>
          <w:p w14:paraId="2A082E7C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46,000,000</w:t>
            </w:r>
          </w:p>
        </w:tc>
      </w:tr>
      <w:tr w:rsidR="007F23C6" w:rsidRPr="003017F0" w14:paraId="3F4691AC" w14:textId="77777777" w:rsidTr="003017F0">
        <w:trPr>
          <w:trHeight w:val="421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</w:tcPr>
          <w:p w14:paraId="7736E4D9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</w:tcPr>
          <w:p w14:paraId="0FF64FBF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Plan on production and business activities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</w:tcPr>
          <w:p w14:paraId="775E100D" w14:textId="77777777" w:rsidR="007F23C6" w:rsidRPr="003017F0" w:rsidRDefault="007F23C6" w:rsidP="003017F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</w:tcPr>
          <w:p w14:paraId="6E9AAF5E" w14:textId="77777777" w:rsidR="007F23C6" w:rsidRPr="003017F0" w:rsidRDefault="007F23C6" w:rsidP="003017F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23C6" w:rsidRPr="003017F0" w14:paraId="73B71641" w14:textId="77777777" w:rsidTr="003017F0">
        <w:trPr>
          <w:trHeight w:val="518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14F5C50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C9520F6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01E442C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42A3EC6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245,000,000,000</w:t>
            </w:r>
          </w:p>
        </w:tc>
      </w:tr>
      <w:tr w:rsidR="007F23C6" w:rsidRPr="003017F0" w14:paraId="0DE1BDB2" w14:textId="77777777" w:rsidTr="003017F0">
        <w:trPr>
          <w:trHeight w:val="432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</w:tcPr>
          <w:p w14:paraId="51DDC422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</w:tcPr>
          <w:p w14:paraId="43BA2464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Total expense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</w:tcPr>
          <w:p w14:paraId="5712FA93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</w:tcPr>
          <w:p w14:paraId="0E23C8F9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232,000,000,000</w:t>
            </w:r>
          </w:p>
        </w:tc>
      </w:tr>
      <w:tr w:rsidR="007F23C6" w:rsidRPr="003017F0" w14:paraId="03A99619" w14:textId="77777777" w:rsidTr="003017F0">
        <w:trPr>
          <w:trHeight w:val="428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</w:tcPr>
          <w:p w14:paraId="283702D9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</w:tcPr>
          <w:p w14:paraId="6175069D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</w:tcPr>
          <w:p w14:paraId="618B8F52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</w:tcPr>
          <w:p w14:paraId="42063845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13,000,000,000</w:t>
            </w:r>
          </w:p>
        </w:tc>
      </w:tr>
      <w:tr w:rsidR="007F23C6" w:rsidRPr="003017F0" w14:paraId="7DD81351" w14:textId="77777777" w:rsidTr="003017F0">
        <w:trPr>
          <w:trHeight w:val="436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</w:tcPr>
          <w:p w14:paraId="1BEFE732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</w:tcPr>
          <w:p w14:paraId="5D851FC9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Corporate income tax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</w:tcPr>
          <w:p w14:paraId="57214BD1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</w:tcPr>
          <w:p w14:paraId="33667D0C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2,600,000,000</w:t>
            </w:r>
          </w:p>
        </w:tc>
      </w:tr>
      <w:tr w:rsidR="007F23C6" w:rsidRPr="003017F0" w14:paraId="627A2B46" w14:textId="77777777" w:rsidTr="003017F0">
        <w:trPr>
          <w:trHeight w:val="504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56A0216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EDEE2FB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Profit after tax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7B67A9F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E8AEB84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10,400,000,000</w:t>
            </w:r>
          </w:p>
        </w:tc>
      </w:tr>
      <w:tr w:rsidR="007F23C6" w:rsidRPr="003017F0" w14:paraId="1D9DA3A1" w14:textId="77777777" w:rsidTr="003017F0">
        <w:trPr>
          <w:trHeight w:val="482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3DB143E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6A45303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Plan on Profit distribution after tax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9114E50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7F6440E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10,400,000,000</w:t>
            </w:r>
          </w:p>
        </w:tc>
      </w:tr>
      <w:tr w:rsidR="007F23C6" w:rsidRPr="003017F0" w14:paraId="1568DE99" w14:textId="77777777" w:rsidTr="003017F0">
        <w:trPr>
          <w:trHeight w:val="713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39B2976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</w:tcPr>
          <w:p w14:paraId="329262C5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Appropriation for Investment and Development fund (29% of profit after tax)</w:t>
            </w:r>
          </w:p>
          <w:p w14:paraId="34E3DD4F" w14:textId="77777777" w:rsidR="007F23C6" w:rsidRPr="003017F0" w:rsidRDefault="007F23C6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ADECF4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lastRenderedPageBreak/>
              <w:t>VND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F680A88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3,016,000,000</w:t>
            </w:r>
          </w:p>
        </w:tc>
      </w:tr>
      <w:tr w:rsidR="007F23C6" w:rsidRPr="003017F0" w14:paraId="17342A8A" w14:textId="77777777" w:rsidTr="003017F0">
        <w:trPr>
          <w:trHeight w:val="432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330493A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1E76385F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Appropriation for bonus and welfare fund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385D698E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2A74CA4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1,884,000,000</w:t>
            </w:r>
          </w:p>
        </w:tc>
      </w:tr>
      <w:tr w:rsidR="007F23C6" w:rsidRPr="003017F0" w14:paraId="28607CF4" w14:textId="77777777" w:rsidTr="003017F0">
        <w:trPr>
          <w:trHeight w:val="742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50A675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  <w:vAlign w:val="bottom"/>
          </w:tcPr>
          <w:p w14:paraId="7C0EA46D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Appropriation for Bonus, welfare fund for employees (15% of profit after tax)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C6E634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17A356D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1,560,000,000</w:t>
            </w:r>
          </w:p>
        </w:tc>
      </w:tr>
      <w:tr w:rsidR="007F23C6" w:rsidRPr="003017F0" w14:paraId="280BF212" w14:textId="77777777" w:rsidTr="003017F0">
        <w:trPr>
          <w:trHeight w:val="587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8A654C4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00E988D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Appropriation for Bonus Fund for the Management Officer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AFF3FA7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D39A8C1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324,000,000</w:t>
            </w:r>
          </w:p>
        </w:tc>
      </w:tr>
      <w:tr w:rsidR="007F23C6" w:rsidRPr="003017F0" w14:paraId="628BA02B" w14:textId="77777777" w:rsidTr="003017F0">
        <w:trPr>
          <w:trHeight w:val="720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D525D0D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</w:tcPr>
          <w:p w14:paraId="0BC8A4A0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Remuneration for the Board of Directors, the Supervisory Board and the Management Officer, the Secretariat of the Company’s Board of Directors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B604CFE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8766EF6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138,000,000</w:t>
            </w:r>
          </w:p>
        </w:tc>
      </w:tr>
      <w:tr w:rsidR="007F23C6" w:rsidRPr="003017F0" w14:paraId="2562C15A" w14:textId="77777777" w:rsidTr="003017F0">
        <w:trPr>
          <w:trHeight w:val="752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18C726E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40EB384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Dividend payment for shareholders (equal to the rate of 1.39%)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6309825A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EDAA7C2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5,362,000,000</w:t>
            </w:r>
          </w:p>
        </w:tc>
      </w:tr>
      <w:tr w:rsidR="007F23C6" w:rsidRPr="003017F0" w14:paraId="72E82581" w14:textId="77777777" w:rsidTr="003017F0">
        <w:trPr>
          <w:trHeight w:val="554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8A0678B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CB13523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Undistributed profit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55039EF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1CB64D6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F23C6" w:rsidRPr="003017F0" w14:paraId="6623C908" w14:textId="77777777" w:rsidTr="003017F0">
        <w:trPr>
          <w:trHeight w:val="511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EF3B5CF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6929EFC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Salary fund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</w:tcPr>
          <w:p w14:paraId="71EA331D" w14:textId="77777777" w:rsidR="007F23C6" w:rsidRPr="003017F0" w:rsidRDefault="007F23C6" w:rsidP="003017F0">
            <w:pP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0B7CC42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28,965,600,000</w:t>
            </w:r>
          </w:p>
        </w:tc>
      </w:tr>
      <w:tr w:rsidR="007F23C6" w:rsidRPr="003017F0" w14:paraId="04158C74" w14:textId="77777777" w:rsidTr="003017F0">
        <w:trPr>
          <w:trHeight w:val="450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05E41592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1A1C3777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Salary fund of the Management Officer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7889743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5E1FC6AC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2,592,000,000</w:t>
            </w:r>
          </w:p>
        </w:tc>
      </w:tr>
      <w:tr w:rsidR="007F23C6" w:rsidRPr="003017F0" w14:paraId="3746030E" w14:textId="77777777" w:rsidTr="003017F0">
        <w:trPr>
          <w:trHeight w:val="479"/>
        </w:trPr>
        <w:tc>
          <w:tcPr>
            <w:tcW w:w="62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49B9FB0F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0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7EE13BC6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Salary fund for employees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21BF0627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14:paraId="385BDD4F" w14:textId="77777777" w:rsidR="007F23C6" w:rsidRPr="003017F0" w:rsidRDefault="002B5835" w:rsidP="00301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17F0">
              <w:rPr>
                <w:rFonts w:ascii="Arial" w:hAnsi="Arial" w:cs="Arial"/>
                <w:sz w:val="20"/>
                <w:szCs w:val="20"/>
              </w:rPr>
              <w:t>26,373,600,000</w:t>
            </w:r>
          </w:p>
        </w:tc>
      </w:tr>
    </w:tbl>
    <w:p w14:paraId="13F00462" w14:textId="379DAC3E" w:rsidR="007F23C6" w:rsidRPr="003017F0" w:rsidRDefault="002B5835" w:rsidP="003017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 xml:space="preserve">Approve the selection of RSM Vietnam Auditing &amp; Consulting Limited to be </w:t>
      </w:r>
      <w:r w:rsidR="003017F0">
        <w:rPr>
          <w:rFonts w:ascii="Arial" w:hAnsi="Arial" w:cs="Arial"/>
          <w:sz w:val="20"/>
          <w:szCs w:val="20"/>
        </w:rPr>
        <w:t xml:space="preserve">an </w:t>
      </w:r>
      <w:r w:rsidRPr="003017F0">
        <w:rPr>
          <w:rFonts w:ascii="Arial" w:hAnsi="Arial" w:cs="Arial"/>
          <w:sz w:val="20"/>
          <w:szCs w:val="20"/>
        </w:rPr>
        <w:t xml:space="preserve">audit company implementing auditing services in 2024 for the Company. </w:t>
      </w:r>
    </w:p>
    <w:p w14:paraId="79E4E456" w14:textId="0F84C2BB" w:rsidR="007F23C6" w:rsidRPr="003017F0" w:rsidRDefault="002B5835" w:rsidP="003017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03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>Approve remuneration settlement grade for Members of the Board of Directors, members of the Supervisory Board</w:t>
      </w:r>
      <w:r w:rsidR="000063C9">
        <w:rPr>
          <w:rFonts w:ascii="Arial" w:hAnsi="Arial" w:cs="Arial"/>
          <w:sz w:val="20"/>
          <w:szCs w:val="20"/>
        </w:rPr>
        <w:t>,</w:t>
      </w:r>
      <w:r w:rsidRPr="003017F0">
        <w:rPr>
          <w:rFonts w:ascii="Arial" w:hAnsi="Arial" w:cs="Arial"/>
          <w:sz w:val="20"/>
          <w:szCs w:val="20"/>
        </w:rPr>
        <w:t xml:space="preserve"> and the person in charge of corporate governance 2024. </w:t>
      </w:r>
    </w:p>
    <w:p w14:paraId="5D18B50C" w14:textId="7701BBB9" w:rsidR="007F23C6" w:rsidRPr="003017F0" w:rsidRDefault="002B5835" w:rsidP="003017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2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 xml:space="preserve">Approve the update, amendment, </w:t>
      </w:r>
      <w:r w:rsidR="000063C9">
        <w:rPr>
          <w:rFonts w:ascii="Arial" w:hAnsi="Arial" w:cs="Arial"/>
          <w:sz w:val="20"/>
          <w:szCs w:val="20"/>
        </w:rPr>
        <w:t xml:space="preserve">and </w:t>
      </w:r>
      <w:r w:rsidRPr="003017F0">
        <w:rPr>
          <w:rFonts w:ascii="Arial" w:hAnsi="Arial" w:cs="Arial"/>
          <w:sz w:val="20"/>
          <w:szCs w:val="20"/>
        </w:rPr>
        <w:t xml:space="preserve">supplement to the Company’s Charter. </w:t>
      </w:r>
    </w:p>
    <w:p w14:paraId="17E6664D" w14:textId="27129BE1" w:rsidR="007F23C6" w:rsidRPr="003017F0" w:rsidRDefault="002B5835" w:rsidP="003017F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4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>‎‎Article 2. The General Meeting of Shareholders approves unanimously dismissing Members of the Board of Directors, the Supervisory Board</w:t>
      </w:r>
      <w:r w:rsidR="000063C9">
        <w:rPr>
          <w:rFonts w:ascii="Arial" w:hAnsi="Arial" w:cs="Arial"/>
          <w:sz w:val="20"/>
          <w:szCs w:val="20"/>
        </w:rPr>
        <w:t>,</w:t>
      </w:r>
      <w:r w:rsidRPr="003017F0">
        <w:rPr>
          <w:rFonts w:ascii="Arial" w:hAnsi="Arial" w:cs="Arial"/>
          <w:sz w:val="20"/>
          <w:szCs w:val="20"/>
        </w:rPr>
        <w:t xml:space="preserve"> and results of </w:t>
      </w:r>
      <w:r w:rsidR="000063C9">
        <w:rPr>
          <w:rFonts w:ascii="Arial" w:hAnsi="Arial" w:cs="Arial"/>
          <w:sz w:val="20"/>
          <w:szCs w:val="20"/>
        </w:rPr>
        <w:t xml:space="preserve">the </w:t>
      </w:r>
      <w:r w:rsidRPr="003017F0">
        <w:rPr>
          <w:rFonts w:ascii="Arial" w:hAnsi="Arial" w:cs="Arial"/>
          <w:sz w:val="20"/>
          <w:szCs w:val="20"/>
        </w:rPr>
        <w:t>supplemental election for members of the Supervisory Board for the term 2021 - 2026 as follows:</w:t>
      </w:r>
    </w:p>
    <w:p w14:paraId="7CEF62BF" w14:textId="6FC74BAA" w:rsidR="007F23C6" w:rsidRPr="003017F0" w:rsidRDefault="002B5835" w:rsidP="003017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6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 xml:space="preserve">Dismiss members of the Board of Directors and the Supervisory Board of the Company for the term 2021 - 2026 </w:t>
      </w:r>
      <w:r w:rsidR="000063C9">
        <w:rPr>
          <w:rFonts w:ascii="Arial" w:hAnsi="Arial" w:cs="Arial"/>
          <w:sz w:val="20"/>
          <w:szCs w:val="20"/>
        </w:rPr>
        <w:t>following</w:t>
      </w:r>
      <w:r w:rsidRPr="003017F0">
        <w:rPr>
          <w:rFonts w:ascii="Arial" w:hAnsi="Arial" w:cs="Arial"/>
          <w:sz w:val="20"/>
          <w:szCs w:val="20"/>
        </w:rPr>
        <w:t xml:space="preserve"> the Resignation.  Dismissed employees including:</w:t>
      </w:r>
    </w:p>
    <w:p w14:paraId="06AC443C" w14:textId="77777777" w:rsidR="007F23C6" w:rsidRPr="003017F0" w:rsidRDefault="002B5835" w:rsidP="003017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4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 xml:space="preserve">Mr. Au Duong </w:t>
      </w:r>
      <w:proofErr w:type="spellStart"/>
      <w:r w:rsidRPr="003017F0">
        <w:rPr>
          <w:rFonts w:ascii="Arial" w:hAnsi="Arial" w:cs="Arial"/>
          <w:sz w:val="20"/>
          <w:szCs w:val="20"/>
        </w:rPr>
        <w:t>Buu</w:t>
      </w:r>
      <w:proofErr w:type="spellEnd"/>
      <w:r w:rsidRPr="003017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7F0">
        <w:rPr>
          <w:rFonts w:ascii="Arial" w:hAnsi="Arial" w:cs="Arial"/>
          <w:sz w:val="20"/>
          <w:szCs w:val="20"/>
        </w:rPr>
        <w:t>Xuyen</w:t>
      </w:r>
      <w:proofErr w:type="spellEnd"/>
      <w:r w:rsidRPr="003017F0">
        <w:rPr>
          <w:rFonts w:ascii="Arial" w:hAnsi="Arial" w:cs="Arial"/>
          <w:sz w:val="20"/>
          <w:szCs w:val="20"/>
        </w:rPr>
        <w:t xml:space="preserve"> - the Vice Chair of the Board of Directors.</w:t>
      </w:r>
    </w:p>
    <w:p w14:paraId="19C2553E" w14:textId="77777777" w:rsidR="007F23C6" w:rsidRPr="003017F0" w:rsidRDefault="002B5835" w:rsidP="003017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942"/>
        </w:tabs>
        <w:spacing w:after="12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 xml:space="preserve">Ms. Tran Huynh Tam Minh - Member of the Supervisory Board </w:t>
      </w:r>
    </w:p>
    <w:p w14:paraId="4F4CDBC7" w14:textId="77777777" w:rsidR="007F23C6" w:rsidRPr="003017F0" w:rsidRDefault="002B5835" w:rsidP="003017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 xml:space="preserve">Supplement Member of the Board of Directors for the term 2021 - 2026 who is recently elected - Ms. Truong </w:t>
      </w:r>
      <w:proofErr w:type="spellStart"/>
      <w:r w:rsidRPr="003017F0">
        <w:rPr>
          <w:rFonts w:ascii="Arial" w:hAnsi="Arial" w:cs="Arial"/>
          <w:sz w:val="20"/>
          <w:szCs w:val="20"/>
        </w:rPr>
        <w:t>Mong</w:t>
      </w:r>
      <w:proofErr w:type="spellEnd"/>
      <w:r w:rsidRPr="003017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7F0">
        <w:rPr>
          <w:rFonts w:ascii="Arial" w:hAnsi="Arial" w:cs="Arial"/>
          <w:sz w:val="20"/>
          <w:szCs w:val="20"/>
        </w:rPr>
        <w:t>Tuyen</w:t>
      </w:r>
      <w:proofErr w:type="spellEnd"/>
      <w:r w:rsidRPr="003017F0">
        <w:rPr>
          <w:rFonts w:ascii="Arial" w:hAnsi="Arial" w:cs="Arial"/>
          <w:sz w:val="20"/>
          <w:szCs w:val="20"/>
        </w:rPr>
        <w:t>, ID Card No.: 087195001358.</w:t>
      </w:r>
    </w:p>
    <w:p w14:paraId="52983A3B" w14:textId="4BAEAE78" w:rsidR="007F23C6" w:rsidRPr="003017F0" w:rsidRDefault="002B5835" w:rsidP="003017F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>‎‎Article 3. The General Meeting of Shareholders approves unanimously authorizing the Board of Directors to implement the following contents:</w:t>
      </w:r>
    </w:p>
    <w:p w14:paraId="34FEDA94" w14:textId="77777777" w:rsidR="007F23C6" w:rsidRPr="003017F0" w:rsidRDefault="002B5835" w:rsidP="00301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 xml:space="preserve">Implement profit distribution 2023 approved by the General Meeting of Shareholders by voting. </w:t>
      </w:r>
    </w:p>
    <w:p w14:paraId="30141DE2" w14:textId="3F9C5B33" w:rsidR="007F23C6" w:rsidRPr="003017F0" w:rsidRDefault="002B5835" w:rsidP="00301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9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 xml:space="preserve">Balance and adjust to Plan on production and business activities, investments in 2024 (if any) </w:t>
      </w:r>
      <w:r w:rsidR="000063C9">
        <w:rPr>
          <w:rFonts w:ascii="Arial" w:hAnsi="Arial" w:cs="Arial"/>
          <w:sz w:val="20"/>
          <w:szCs w:val="20"/>
        </w:rPr>
        <w:lastRenderedPageBreak/>
        <w:t>following</w:t>
      </w:r>
      <w:r w:rsidRPr="003017F0">
        <w:rPr>
          <w:rFonts w:ascii="Arial" w:hAnsi="Arial" w:cs="Arial"/>
          <w:sz w:val="20"/>
          <w:szCs w:val="20"/>
        </w:rPr>
        <w:t xml:space="preserve"> the actual situation and regulations applicable to State-owned Enterprises holding 50% or more of charter capital ensuring compliance with capital preservation and highest economic efficiency for the Company. </w:t>
      </w:r>
    </w:p>
    <w:p w14:paraId="0ECB30D6" w14:textId="6C6395E8" w:rsidR="007F23C6" w:rsidRPr="003017F0" w:rsidRDefault="002B5835" w:rsidP="00301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 xml:space="preserve">Complete position structure regarding recently elected employees for the Supervisory Board’s members for the term 2021 - 2026 mentioned in Article 2 of this Mandate. </w:t>
      </w:r>
    </w:p>
    <w:p w14:paraId="241D2B08" w14:textId="77777777" w:rsidR="007F23C6" w:rsidRPr="003017F0" w:rsidRDefault="002B5835" w:rsidP="00301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41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>Direct the implementation of the remaining contents specified in Article 1 of this Mandate.</w:t>
      </w:r>
    </w:p>
    <w:p w14:paraId="0E08889B" w14:textId="77777777" w:rsidR="007F23C6" w:rsidRPr="003017F0" w:rsidRDefault="002B5835" w:rsidP="003017F0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>‎‎Article 4. Terms of enforcement:</w:t>
      </w:r>
    </w:p>
    <w:p w14:paraId="786D6CB6" w14:textId="54E7BBB2" w:rsidR="007F23C6" w:rsidRPr="003017F0" w:rsidRDefault="002B5835" w:rsidP="00301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16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 xml:space="preserve">This General Mandate is unanimously approved by the Annual General Meeting of Shareholders 2024 and takes effect from the date of its signing. </w:t>
      </w:r>
    </w:p>
    <w:p w14:paraId="18F06A1F" w14:textId="437AD214" w:rsidR="007F23C6" w:rsidRPr="003017F0" w:rsidRDefault="002B5835" w:rsidP="003017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2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3017F0">
        <w:rPr>
          <w:rFonts w:ascii="Arial" w:hAnsi="Arial" w:cs="Arial"/>
          <w:sz w:val="20"/>
          <w:szCs w:val="20"/>
        </w:rPr>
        <w:t>The General Meeting of Shareholders, the Board of Directors, the Supervisory Board, the Board of Management</w:t>
      </w:r>
      <w:r w:rsidR="000063C9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3017F0">
        <w:rPr>
          <w:rFonts w:ascii="Arial" w:hAnsi="Arial" w:cs="Arial"/>
          <w:sz w:val="20"/>
          <w:szCs w:val="20"/>
        </w:rPr>
        <w:t xml:space="preserve"> and affiliated individuals take responsibility for implementing this Mandate. </w:t>
      </w:r>
    </w:p>
    <w:sectPr w:rsidR="007F23C6" w:rsidRPr="003017F0">
      <w:pgSz w:w="11909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1451"/>
    <w:multiLevelType w:val="multilevel"/>
    <w:tmpl w:val="23C46F04"/>
    <w:lvl w:ilvl="0">
      <w:start w:val="7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2281476"/>
    <w:multiLevelType w:val="multilevel"/>
    <w:tmpl w:val="6E02DD74"/>
    <w:lvl w:ilvl="0">
      <w:start w:val="1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7F354B"/>
    <w:multiLevelType w:val="multilevel"/>
    <w:tmpl w:val="955C8606"/>
    <w:lvl w:ilvl="0">
      <w:start w:val="8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C775842"/>
    <w:multiLevelType w:val="multilevel"/>
    <w:tmpl w:val="513E180E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0E54167"/>
    <w:multiLevelType w:val="multilevel"/>
    <w:tmpl w:val="82F44B9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DA96B11"/>
    <w:multiLevelType w:val="multilevel"/>
    <w:tmpl w:val="4DC63098"/>
    <w:lvl w:ilvl="0">
      <w:start w:val="1"/>
      <w:numFmt w:val="decimal"/>
      <w:lvlText w:val="%1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C6"/>
    <w:rsid w:val="000063C9"/>
    <w:rsid w:val="001420E5"/>
    <w:rsid w:val="002B5835"/>
    <w:rsid w:val="003017F0"/>
    <w:rsid w:val="007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7CE93"/>
  <w15:docId w15:val="{2E8B0C1D-C810-4B22-9731-6661E396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62645"/>
      <w:w w:val="70"/>
      <w:sz w:val="38"/>
      <w:szCs w:val="3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180" w:lineRule="auto"/>
      <w:ind w:left="1180"/>
    </w:pPr>
    <w:rPr>
      <w:rFonts w:ascii="Arial" w:eastAsia="Arial" w:hAnsi="Arial" w:cs="Arial"/>
      <w:sz w:val="19"/>
      <w:szCs w:val="19"/>
    </w:rPr>
  </w:style>
  <w:style w:type="paragraph" w:customStyle="1" w:styleId="Tablecaption0">
    <w:name w:val="Table caption"/>
    <w:basedOn w:val="Normal"/>
    <w:link w:val="Tablecaption"/>
    <w:pPr>
      <w:spacing w:line="252" w:lineRule="auto"/>
      <w:ind w:firstLine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#1"/>
    <w:basedOn w:val="Normal"/>
    <w:link w:val="Heading10"/>
    <w:pPr>
      <w:ind w:left="6280"/>
      <w:outlineLvl w:val="0"/>
    </w:pPr>
    <w:rPr>
      <w:rFonts w:ascii="Times New Roman" w:eastAsia="Times New Roman" w:hAnsi="Times New Roman" w:cs="Times New Roman"/>
      <w:color w:val="C62645"/>
      <w:w w:val="70"/>
      <w:sz w:val="38"/>
      <w:szCs w:val="3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6ru/Sjxgekjbrg/6e8sgJTM1yA==">CgMxLjA4AHIhMXVFdElfTTFSMGptZFlSSFpuS1lrLUtZVlF3bWRFckQx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886</Words>
  <Characters>4913</Characters>
  <Application>Microsoft Office Word</Application>
  <DocSecurity>0</DocSecurity>
  <Lines>258</Lines>
  <Paragraphs>231</Paragraphs>
  <ScaleCrop>false</ScaleCrop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Thi Quynh Trang</cp:lastModifiedBy>
  <cp:revision>5</cp:revision>
  <dcterms:created xsi:type="dcterms:W3CDTF">2024-07-01T04:26:00Z</dcterms:created>
  <dcterms:modified xsi:type="dcterms:W3CDTF">2024-07-03T08:01:00Z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183b005f0234381a7cbc1a4d968d85954a9909a4861d01c1250191f51ed8d27a</vt:lpwstr>
  </property>
</Properties>
</file>