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ACB81" w14:textId="77777777" w:rsidR="00980B69" w:rsidRPr="001B7398" w:rsidRDefault="00290363" w:rsidP="00671E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B7398">
        <w:rPr>
          <w:rFonts w:ascii="Arial" w:hAnsi="Arial"/>
          <w:b/>
          <w:color w:val="010000"/>
          <w:sz w:val="20"/>
        </w:rPr>
        <w:t>DNN: Annual General Mandate 2024</w:t>
      </w:r>
    </w:p>
    <w:p w14:paraId="000DE491" w14:textId="77777777" w:rsidR="00980B69" w:rsidRPr="001B7398" w:rsidRDefault="00290363" w:rsidP="00671E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 xml:space="preserve">On June 26, 2024, Da Nang Water Supply Joint Stock Company announced General Mandate No. 01/NQ-DHDCD as follows: </w:t>
      </w:r>
    </w:p>
    <w:p w14:paraId="300633D7" w14:textId="77777777" w:rsidR="00980B69" w:rsidRPr="001B7398" w:rsidRDefault="00290363" w:rsidP="00671E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>‎‎Article 1. Vote for approval of the following contents:</w:t>
      </w:r>
    </w:p>
    <w:p w14:paraId="78FF9C8A" w14:textId="3170AAFF" w:rsidR="00980B69" w:rsidRPr="001B7398" w:rsidRDefault="00290363" w:rsidP="00671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>Report of the Board of Directors on the governance and activities of the Board of Directors in 2023 and the plan on activities of the Board of Directors for 2024.</w:t>
      </w:r>
    </w:p>
    <w:p w14:paraId="01255505" w14:textId="77777777" w:rsidR="00980B69" w:rsidRPr="001B7398" w:rsidRDefault="00290363" w:rsidP="00671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>Report of the Executive Board on production and business results in 2023, plan on production and business for 2024 with targets as follows:</w:t>
      </w:r>
    </w:p>
    <w:p w14:paraId="103B5019" w14:textId="77777777" w:rsidR="00980B69" w:rsidRPr="001B7398" w:rsidRDefault="00290363" w:rsidP="00671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>Production and business results of 2023.</w:t>
      </w:r>
    </w:p>
    <w:p w14:paraId="4E7C9A29" w14:textId="77777777" w:rsidR="00980B69" w:rsidRPr="001B7398" w:rsidRDefault="00290363" w:rsidP="00671E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>Results of implementing main plan targets:</w:t>
      </w:r>
    </w:p>
    <w:tbl>
      <w:tblPr>
        <w:tblStyle w:val="a"/>
        <w:tblW w:w="9017" w:type="dxa"/>
        <w:tblLayout w:type="fixed"/>
        <w:tblLook w:val="0000" w:firstRow="0" w:lastRow="0" w:firstColumn="0" w:lastColumn="0" w:noHBand="0" w:noVBand="0"/>
      </w:tblPr>
      <w:tblGrid>
        <w:gridCol w:w="355"/>
        <w:gridCol w:w="3125"/>
        <w:gridCol w:w="1230"/>
        <w:gridCol w:w="1068"/>
        <w:gridCol w:w="1039"/>
        <w:gridCol w:w="1125"/>
        <w:gridCol w:w="1075"/>
      </w:tblGrid>
      <w:tr w:rsidR="00980B69" w:rsidRPr="001B7398" w14:paraId="325F2414" w14:textId="77777777" w:rsidTr="000812FB"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2FC63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929E5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991E6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0BBBF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2023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F7629" w14:textId="09E51B5F" w:rsidR="00980B69" w:rsidRPr="001B7398" w:rsidRDefault="00671E9C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 xml:space="preserve">Compared </w:t>
            </w:r>
            <w:r w:rsidR="00290363" w:rsidRPr="001B7398">
              <w:rPr>
                <w:rFonts w:ascii="Arial" w:hAnsi="Arial"/>
                <w:color w:val="010000"/>
                <w:sz w:val="20"/>
              </w:rPr>
              <w:t>to the Plan</w:t>
            </w:r>
            <w:r w:rsidRPr="001B7398">
              <w:rPr>
                <w:rFonts w:ascii="Arial" w:hAnsi="Arial"/>
                <w:color w:val="010000"/>
                <w:sz w:val="20"/>
              </w:rPr>
              <w:t xml:space="preserve"> (%)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4F2B0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Compared to that in 2022</w:t>
            </w:r>
          </w:p>
        </w:tc>
      </w:tr>
      <w:tr w:rsidR="00980B69" w:rsidRPr="001B7398" w14:paraId="4CB2C3C4" w14:textId="77777777" w:rsidTr="000812FB"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7DA74" w14:textId="77777777" w:rsidR="00980B69" w:rsidRPr="001B7398" w:rsidRDefault="00980B69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436AE" w14:textId="77777777" w:rsidR="00980B69" w:rsidRPr="001B7398" w:rsidRDefault="00980B69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2A74D" w14:textId="77777777" w:rsidR="00980B69" w:rsidRPr="001B7398" w:rsidRDefault="00980B69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8F2A4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Plan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143DC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Results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5374B" w14:textId="77777777" w:rsidR="00980B69" w:rsidRPr="001B7398" w:rsidRDefault="00980B69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7396C" w14:textId="77777777" w:rsidR="00980B69" w:rsidRPr="001B7398" w:rsidRDefault="00980B69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80B69" w:rsidRPr="001B7398" w14:paraId="53361A44" w14:textId="77777777" w:rsidTr="000812FB">
        <w:tc>
          <w:tcPr>
            <w:tcW w:w="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D26C0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4407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 xml:space="preserve">Produced water (including </w:t>
            </w:r>
            <w:proofErr w:type="spellStart"/>
            <w:r w:rsidRPr="001B7398"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 w:rsidRPr="001B7398">
              <w:rPr>
                <w:rFonts w:ascii="Arial" w:hAnsi="Arial"/>
                <w:color w:val="010000"/>
                <w:sz w:val="20"/>
              </w:rPr>
              <w:t xml:space="preserve"> Lien)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A9963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Million m3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B1CC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111.739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C6992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115.143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1ADE02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103.1%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3AFA5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104.8%</w:t>
            </w:r>
          </w:p>
        </w:tc>
      </w:tr>
      <w:tr w:rsidR="00980B69" w:rsidRPr="001B7398" w14:paraId="46327844" w14:textId="77777777" w:rsidTr="000812FB">
        <w:tc>
          <w:tcPr>
            <w:tcW w:w="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A8DE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3942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Metered water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7EBA4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Million m3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37F15C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96.095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316CA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97.328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DF7F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101.3%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F5CA8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106.3%</w:t>
            </w:r>
          </w:p>
        </w:tc>
      </w:tr>
      <w:tr w:rsidR="00980B69" w:rsidRPr="001B7398" w14:paraId="6F5BABFB" w14:textId="77777777" w:rsidTr="000812FB">
        <w:tc>
          <w:tcPr>
            <w:tcW w:w="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C9D60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E2917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Total revenue before tax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B408E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86253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597.093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0E2B7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626.297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67B26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104.9%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F0D3C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111.8%</w:t>
            </w:r>
          </w:p>
        </w:tc>
      </w:tr>
      <w:tr w:rsidR="00980B69" w:rsidRPr="001B7398" w14:paraId="75DDA772" w14:textId="77777777" w:rsidTr="000812FB">
        <w:tc>
          <w:tcPr>
            <w:tcW w:w="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1BFAF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36E06" w14:textId="77777777" w:rsidR="00980B69" w:rsidRPr="001B7398" w:rsidRDefault="00290363" w:rsidP="00671E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 xml:space="preserve"> Water sector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0A0A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07458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573.688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C44F6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591.802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E67E8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103.2%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5279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111.7%</w:t>
            </w:r>
          </w:p>
        </w:tc>
      </w:tr>
      <w:tr w:rsidR="00980B69" w:rsidRPr="001B7398" w14:paraId="08F37EFB" w14:textId="77777777" w:rsidTr="000812FB">
        <w:tc>
          <w:tcPr>
            <w:tcW w:w="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DB287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6D776" w14:textId="77777777" w:rsidR="00980B69" w:rsidRPr="001B7398" w:rsidRDefault="00290363" w:rsidP="00671E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 xml:space="preserve"> Construction and </w:t>
            </w:r>
            <w:proofErr w:type="spellStart"/>
            <w:r w:rsidRPr="001B7398">
              <w:rPr>
                <w:rFonts w:ascii="Arial" w:hAnsi="Arial"/>
                <w:color w:val="010000"/>
                <w:sz w:val="20"/>
              </w:rPr>
              <w:t>installaion</w:t>
            </w:r>
            <w:proofErr w:type="spellEnd"/>
            <w:r w:rsidRPr="001B7398">
              <w:rPr>
                <w:rFonts w:ascii="Arial" w:hAnsi="Arial"/>
                <w:color w:val="010000"/>
                <w:sz w:val="20"/>
              </w:rPr>
              <w:t xml:space="preserve"> sector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48B5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2F274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3.500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C4886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3.913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7043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111.8%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A5D8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86.9%</w:t>
            </w:r>
          </w:p>
        </w:tc>
      </w:tr>
      <w:tr w:rsidR="00980B69" w:rsidRPr="001B7398" w14:paraId="13B0C7F1" w14:textId="77777777" w:rsidTr="000812FB">
        <w:tc>
          <w:tcPr>
            <w:tcW w:w="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B22BA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FEE3F" w14:textId="77777777" w:rsidR="00980B69" w:rsidRPr="001B7398" w:rsidRDefault="00290363" w:rsidP="00671E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 xml:space="preserve"> Material sector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3B4F6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233EF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0.300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F2753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0.293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46A47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97.7%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DF870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94.8%</w:t>
            </w:r>
          </w:p>
        </w:tc>
      </w:tr>
      <w:tr w:rsidR="00980B69" w:rsidRPr="001B7398" w14:paraId="4F6188CC" w14:textId="77777777" w:rsidTr="000812FB">
        <w:tc>
          <w:tcPr>
            <w:tcW w:w="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327B6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7760B" w14:textId="77777777" w:rsidR="00980B69" w:rsidRPr="001B7398" w:rsidRDefault="00290363" w:rsidP="00671E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 xml:space="preserve"> Other (financial activities, other incomes)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84078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DDF1C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19.605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512C1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30.289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D714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154.5%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03BC3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117.5%</w:t>
            </w:r>
          </w:p>
        </w:tc>
      </w:tr>
      <w:tr w:rsidR="00980B69" w:rsidRPr="001B7398" w14:paraId="4005D38A" w14:textId="77777777" w:rsidTr="000812FB">
        <w:tc>
          <w:tcPr>
            <w:tcW w:w="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9D598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4201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07743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C1BCE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149.268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39F34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150.989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F60FC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101.2%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88E40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86.0%</w:t>
            </w:r>
          </w:p>
        </w:tc>
      </w:tr>
      <w:tr w:rsidR="00980B69" w:rsidRPr="001B7398" w14:paraId="0E260CFD" w14:textId="77777777" w:rsidTr="000812FB">
        <w:tc>
          <w:tcPr>
            <w:tcW w:w="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12801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88427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Dividend payment rate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2CB8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78B9C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399A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AFF3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105.6%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E2032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86.4%</w:t>
            </w:r>
          </w:p>
        </w:tc>
      </w:tr>
      <w:tr w:rsidR="00980B69" w:rsidRPr="001B7398" w14:paraId="25309972" w14:textId="77777777" w:rsidTr="000812FB">
        <w:tc>
          <w:tcPr>
            <w:tcW w:w="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CEBE6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2B3E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Payables to the State budget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CFE49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40E09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B4F1A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176.369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67E7F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FB71C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108.1%</w:t>
            </w:r>
          </w:p>
        </w:tc>
      </w:tr>
      <w:tr w:rsidR="00980B69" w:rsidRPr="001B7398" w14:paraId="4B7254E8" w14:textId="77777777" w:rsidTr="000812FB">
        <w:tc>
          <w:tcPr>
            <w:tcW w:w="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B7006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56635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Average income/person/month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EB26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Million VND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00220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E494A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16.528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E502F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6ECAC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102.0%</w:t>
            </w:r>
          </w:p>
        </w:tc>
      </w:tr>
      <w:tr w:rsidR="00980B69" w:rsidRPr="001B7398" w14:paraId="29978487" w14:textId="77777777" w:rsidTr="000812FB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01AA0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A5DD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Average unit price of water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FDD4C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VND/m3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989AC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355E3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6,080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2CD76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12C91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105.1%</w:t>
            </w:r>
          </w:p>
        </w:tc>
      </w:tr>
    </w:tbl>
    <w:p w14:paraId="34C3FE51" w14:textId="77777777" w:rsidR="00980B69" w:rsidRPr="001B7398" w:rsidRDefault="00290363" w:rsidP="00671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>Production and business plan targets 2024: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3789"/>
        <w:gridCol w:w="1502"/>
        <w:gridCol w:w="1735"/>
        <w:gridCol w:w="1636"/>
      </w:tblGrid>
      <w:tr w:rsidR="00980B69" w:rsidRPr="001B7398" w14:paraId="052BB08B" w14:textId="77777777" w:rsidTr="000812F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04A02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40DBC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FCB6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Unit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BDE2E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Plan 2024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74C6C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Compared to Results 2023</w:t>
            </w:r>
          </w:p>
        </w:tc>
      </w:tr>
      <w:tr w:rsidR="00980B69" w:rsidRPr="001B7398" w14:paraId="2019CEE2" w14:textId="77777777" w:rsidTr="000812F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067C9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A7911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 xml:space="preserve">Produced water (including </w:t>
            </w:r>
            <w:proofErr w:type="spellStart"/>
            <w:r w:rsidRPr="001B7398"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 w:rsidRPr="001B7398">
              <w:rPr>
                <w:rFonts w:ascii="Arial" w:hAnsi="Arial"/>
                <w:color w:val="010000"/>
                <w:sz w:val="20"/>
              </w:rPr>
              <w:t xml:space="preserve"> Lien)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33C24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Million m3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72F68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118.914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28C36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103.3%</w:t>
            </w:r>
          </w:p>
        </w:tc>
      </w:tr>
      <w:tr w:rsidR="00980B69" w:rsidRPr="001B7398" w14:paraId="619A6B9B" w14:textId="77777777" w:rsidTr="000812F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270B9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B1AA9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Metered water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A9AB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Million m3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F1A3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101.416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E0D8B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104.2%</w:t>
            </w:r>
          </w:p>
        </w:tc>
      </w:tr>
      <w:tr w:rsidR="00980B69" w:rsidRPr="001B7398" w14:paraId="4DC268DA" w14:textId="77777777" w:rsidTr="000812F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EF88A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1C12A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Total revenue before tax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C4BF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BF9B0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709.374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68112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113.3%</w:t>
            </w:r>
          </w:p>
        </w:tc>
      </w:tr>
      <w:tr w:rsidR="00980B69" w:rsidRPr="001B7398" w14:paraId="55884B87" w14:textId="77777777" w:rsidTr="000812F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D60D1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801CC" w14:textId="77777777" w:rsidR="00980B69" w:rsidRPr="001B7398" w:rsidRDefault="00290363" w:rsidP="00671E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Water sector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9E114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C7A62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691.200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FCB54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116.8%</w:t>
            </w:r>
          </w:p>
        </w:tc>
      </w:tr>
      <w:tr w:rsidR="00980B69" w:rsidRPr="001B7398" w14:paraId="115AD236" w14:textId="77777777" w:rsidTr="000812F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6571A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87137" w14:textId="3C845B5A" w:rsidR="00980B69" w:rsidRPr="001B7398" w:rsidRDefault="00290363" w:rsidP="00671E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Construction and installa</w:t>
            </w:r>
            <w:r w:rsidR="000812FB">
              <w:rPr>
                <w:rFonts w:ascii="Arial" w:hAnsi="Arial"/>
                <w:color w:val="010000"/>
                <w:sz w:val="20"/>
              </w:rPr>
              <w:t>t</w:t>
            </w:r>
            <w:bookmarkStart w:id="0" w:name="_GoBack"/>
            <w:bookmarkEnd w:id="0"/>
            <w:r w:rsidRPr="001B7398">
              <w:rPr>
                <w:rFonts w:ascii="Arial" w:hAnsi="Arial"/>
                <w:color w:val="010000"/>
                <w:sz w:val="20"/>
              </w:rPr>
              <w:t>ion sector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C0C9F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CE7BC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3.000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2E513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76.7%</w:t>
            </w:r>
          </w:p>
        </w:tc>
      </w:tr>
      <w:tr w:rsidR="00980B69" w:rsidRPr="001B7398" w14:paraId="6F7C01A8" w14:textId="77777777" w:rsidTr="000812F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F1FF5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9D8A3" w14:textId="77777777" w:rsidR="00980B69" w:rsidRPr="001B7398" w:rsidRDefault="00290363" w:rsidP="00671E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Material sector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8CED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4D278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0.300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B2BC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102.4%</w:t>
            </w:r>
          </w:p>
        </w:tc>
      </w:tr>
      <w:tr w:rsidR="00980B69" w:rsidRPr="001B7398" w14:paraId="77D5F957" w14:textId="77777777" w:rsidTr="000812F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86DFD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0425F" w14:textId="77777777" w:rsidR="00980B69" w:rsidRPr="001B7398" w:rsidRDefault="00290363" w:rsidP="00671E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F30F2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58642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12.374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C83B8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45.4%</w:t>
            </w:r>
          </w:p>
        </w:tc>
      </w:tr>
      <w:tr w:rsidR="00980B69" w:rsidRPr="001B7398" w14:paraId="4772FF05" w14:textId="77777777" w:rsidTr="000812F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B7417" w14:textId="77777777" w:rsidR="00980B69" w:rsidRPr="001B7398" w:rsidRDefault="00980B69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18F5E" w14:textId="77777777" w:rsidR="00980B69" w:rsidRPr="001B7398" w:rsidRDefault="00290363" w:rsidP="00671E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Other incomes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5CA09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4A0A6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2.500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3D0E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82.0%</w:t>
            </w:r>
          </w:p>
        </w:tc>
      </w:tr>
      <w:tr w:rsidR="00980B69" w:rsidRPr="001B7398" w14:paraId="038A67E7" w14:textId="77777777" w:rsidTr="000812F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E4460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1DD62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6CF85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Billion VND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3EFC4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96.576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212D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64.0%</w:t>
            </w:r>
          </w:p>
        </w:tc>
      </w:tr>
      <w:tr w:rsidR="00980B69" w:rsidRPr="001B7398" w14:paraId="65A15784" w14:textId="77777777" w:rsidTr="000812FB">
        <w:tc>
          <w:tcPr>
            <w:tcW w:w="3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0C48F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19244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Dividend payment rate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51F55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%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FD78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CDD44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63.2%</w:t>
            </w:r>
          </w:p>
        </w:tc>
      </w:tr>
    </w:tbl>
    <w:p w14:paraId="79A73D50" w14:textId="77777777" w:rsidR="00980B69" w:rsidRPr="001B7398" w:rsidRDefault="00290363" w:rsidP="00671E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>Depending on the planned production and business situation in the year, the General Meeting of Shareholders authorized the Board of Directors to consider adjusting the above targets according to regulations.</w:t>
      </w:r>
    </w:p>
    <w:p w14:paraId="1FE82884" w14:textId="77777777" w:rsidR="00980B69" w:rsidRPr="001B7398" w:rsidRDefault="00290363" w:rsidP="00671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>Report on activities of the Supervisory Board in 2023 and plan on activities of the Supervisory Board for 2024.</w:t>
      </w:r>
    </w:p>
    <w:p w14:paraId="28670C92" w14:textId="77777777" w:rsidR="00980B69" w:rsidRPr="001B7398" w:rsidRDefault="00290363" w:rsidP="00671E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 xml:space="preserve">The Financial Statements and profit distribution in 2023 and the financial plan and profit distribution plan for 2024: </w:t>
      </w:r>
    </w:p>
    <w:p w14:paraId="145A14DC" w14:textId="77777777" w:rsidR="00980B69" w:rsidRPr="001B7398" w:rsidRDefault="00290363" w:rsidP="00671E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1B7398">
        <w:rPr>
          <w:rFonts w:ascii="Arial" w:hAnsi="Arial"/>
          <w:color w:val="010000"/>
          <w:sz w:val="20"/>
        </w:rPr>
        <w:t>Profit distribution in 2023:</w:t>
      </w:r>
    </w:p>
    <w:tbl>
      <w:tblPr>
        <w:tblStyle w:val="a1"/>
        <w:tblW w:w="90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524"/>
      </w:tblGrid>
      <w:tr w:rsidR="00980B69" w:rsidRPr="001B7398" w14:paraId="2C360086" w14:textId="77777777">
        <w:tc>
          <w:tcPr>
            <w:tcW w:w="4503" w:type="dxa"/>
            <w:shd w:val="clear" w:color="auto" w:fill="auto"/>
            <w:vAlign w:val="center"/>
          </w:tcPr>
          <w:p w14:paraId="5EDEEAE6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28E6757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VND150,988,644,818</w:t>
            </w:r>
          </w:p>
        </w:tc>
      </w:tr>
      <w:tr w:rsidR="00980B69" w:rsidRPr="001B7398" w14:paraId="0EEAD00D" w14:textId="77777777">
        <w:tc>
          <w:tcPr>
            <w:tcW w:w="4503" w:type="dxa"/>
            <w:shd w:val="clear" w:color="auto" w:fill="auto"/>
            <w:vAlign w:val="center"/>
          </w:tcPr>
          <w:p w14:paraId="2EBECC6D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Corporate income tax payable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68B550D4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VND15,457,770,440</w:t>
            </w:r>
          </w:p>
        </w:tc>
      </w:tr>
      <w:tr w:rsidR="00980B69" w:rsidRPr="001B7398" w14:paraId="10ED87B5" w14:textId="77777777">
        <w:tc>
          <w:tcPr>
            <w:tcW w:w="4503" w:type="dxa"/>
            <w:shd w:val="clear" w:color="auto" w:fill="auto"/>
            <w:vAlign w:val="center"/>
          </w:tcPr>
          <w:p w14:paraId="613C3FF0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Profit after tax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5F6DC363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VND135,530,874,378</w:t>
            </w:r>
          </w:p>
        </w:tc>
      </w:tr>
      <w:tr w:rsidR="00980B69" w:rsidRPr="001B7398" w14:paraId="277F900F" w14:textId="77777777">
        <w:tc>
          <w:tcPr>
            <w:tcW w:w="4503" w:type="dxa"/>
            <w:shd w:val="clear" w:color="auto" w:fill="auto"/>
            <w:vAlign w:val="center"/>
          </w:tcPr>
          <w:p w14:paraId="037BDCF6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Profit distribution in 2023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41D8714E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VND135,530,874,378</w:t>
            </w:r>
          </w:p>
        </w:tc>
      </w:tr>
      <w:tr w:rsidR="00980B69" w:rsidRPr="001B7398" w14:paraId="468B9437" w14:textId="77777777">
        <w:tc>
          <w:tcPr>
            <w:tcW w:w="4503" w:type="dxa"/>
            <w:shd w:val="clear" w:color="auto" w:fill="auto"/>
            <w:vAlign w:val="center"/>
          </w:tcPr>
          <w:p w14:paraId="63C6574E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Appropriation for investment and development fund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4B102C98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VND10,995,117,081</w:t>
            </w:r>
          </w:p>
        </w:tc>
      </w:tr>
      <w:tr w:rsidR="00980B69" w:rsidRPr="001B7398" w14:paraId="6BCB0D0A" w14:textId="77777777">
        <w:tc>
          <w:tcPr>
            <w:tcW w:w="4503" w:type="dxa"/>
            <w:shd w:val="clear" w:color="auto" w:fill="auto"/>
            <w:vAlign w:val="center"/>
          </w:tcPr>
          <w:p w14:paraId="73C1E961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Appropriation for bonus and welfare funds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7123218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VND13,818,067,533</w:t>
            </w:r>
          </w:p>
        </w:tc>
      </w:tr>
      <w:tr w:rsidR="00980B69" w:rsidRPr="001B7398" w14:paraId="41E19673" w14:textId="77777777">
        <w:tc>
          <w:tcPr>
            <w:tcW w:w="4503" w:type="dxa"/>
            <w:shd w:val="clear" w:color="auto" w:fill="auto"/>
            <w:vAlign w:val="center"/>
          </w:tcPr>
          <w:p w14:paraId="67C02B59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Bonus fund for the Board of Directors, the Executive Board, the Supervisory Board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524BD2C4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VND585,973,863</w:t>
            </w:r>
          </w:p>
        </w:tc>
      </w:tr>
      <w:tr w:rsidR="00980B69" w:rsidRPr="001B7398" w14:paraId="2A3B8755" w14:textId="77777777">
        <w:tc>
          <w:tcPr>
            <w:tcW w:w="4503" w:type="dxa"/>
            <w:shd w:val="clear" w:color="auto" w:fill="auto"/>
            <w:vAlign w:val="center"/>
          </w:tcPr>
          <w:p w14:paraId="06558D2D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Dividend payment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1B15B132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VND110,131,715,900</w:t>
            </w:r>
          </w:p>
        </w:tc>
      </w:tr>
      <w:tr w:rsidR="00980B69" w:rsidRPr="001B7398" w14:paraId="34072C53" w14:textId="77777777">
        <w:tc>
          <w:tcPr>
            <w:tcW w:w="4503" w:type="dxa"/>
            <w:shd w:val="clear" w:color="auto" w:fill="auto"/>
            <w:vAlign w:val="center"/>
          </w:tcPr>
          <w:p w14:paraId="48C39C3F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Dividend payment rate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134E0AF6" w14:textId="77777777" w:rsidR="00980B69" w:rsidRPr="001B7398" w:rsidRDefault="00290363" w:rsidP="00671E9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19%</w:t>
            </w:r>
          </w:p>
        </w:tc>
      </w:tr>
    </w:tbl>
    <w:p w14:paraId="123C4565" w14:textId="77777777" w:rsidR="00980B69" w:rsidRPr="001B7398" w:rsidRDefault="00290363" w:rsidP="00671E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>Plan on profit distribution for 2024:</w:t>
      </w:r>
    </w:p>
    <w:tbl>
      <w:tblPr>
        <w:tblStyle w:val="a2"/>
        <w:tblW w:w="90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19"/>
      </w:tblGrid>
      <w:tr w:rsidR="00980B69" w:rsidRPr="001B7398" w14:paraId="460087F0" w14:textId="77777777">
        <w:tc>
          <w:tcPr>
            <w:tcW w:w="4508" w:type="dxa"/>
            <w:shd w:val="clear" w:color="auto" w:fill="auto"/>
            <w:vAlign w:val="center"/>
          </w:tcPr>
          <w:p w14:paraId="2D3EF3FB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9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Revenue: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6322B82D" w14:textId="5F4D412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VND709,374,000</w:t>
            </w:r>
            <w:r w:rsidR="00671E9C" w:rsidRPr="001B7398">
              <w:rPr>
                <w:rFonts w:ascii="Arial" w:hAnsi="Arial"/>
                <w:color w:val="010000"/>
                <w:sz w:val="20"/>
              </w:rPr>
              <w:t>,</w:t>
            </w:r>
            <w:r w:rsidRPr="001B7398">
              <w:rPr>
                <w:rFonts w:ascii="Arial" w:hAnsi="Arial"/>
                <w:color w:val="010000"/>
                <w:sz w:val="20"/>
              </w:rPr>
              <w:t>000</w:t>
            </w:r>
          </w:p>
        </w:tc>
      </w:tr>
      <w:tr w:rsidR="00980B69" w:rsidRPr="001B7398" w14:paraId="58E43CD0" w14:textId="77777777">
        <w:tc>
          <w:tcPr>
            <w:tcW w:w="4508" w:type="dxa"/>
            <w:shd w:val="clear" w:color="auto" w:fill="auto"/>
            <w:vAlign w:val="center"/>
          </w:tcPr>
          <w:p w14:paraId="1D6BEA1E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9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lastRenderedPageBreak/>
              <w:t>Profit before tax: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500131E7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VND96,576,000,000</w:t>
            </w:r>
          </w:p>
        </w:tc>
      </w:tr>
      <w:tr w:rsidR="00980B69" w:rsidRPr="001B7398" w14:paraId="4EA6EDE5" w14:textId="77777777">
        <w:tc>
          <w:tcPr>
            <w:tcW w:w="4508" w:type="dxa"/>
            <w:shd w:val="clear" w:color="auto" w:fill="auto"/>
            <w:vAlign w:val="center"/>
          </w:tcPr>
          <w:p w14:paraId="46FDE5DB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9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Profit after tax: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1567EAC9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 xml:space="preserve">VND86,822,000,000 </w:t>
            </w:r>
          </w:p>
        </w:tc>
      </w:tr>
      <w:tr w:rsidR="00980B69" w:rsidRPr="001B7398" w14:paraId="2C2DCED2" w14:textId="77777777">
        <w:tc>
          <w:tcPr>
            <w:tcW w:w="4508" w:type="dxa"/>
            <w:shd w:val="clear" w:color="auto" w:fill="auto"/>
            <w:vAlign w:val="center"/>
          </w:tcPr>
          <w:p w14:paraId="750151F7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9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Distribution of funds: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4EB26086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 xml:space="preserve">VND17,265,000,000 </w:t>
            </w:r>
          </w:p>
        </w:tc>
      </w:tr>
      <w:tr w:rsidR="00980B69" w:rsidRPr="001B7398" w14:paraId="7D3A6D15" w14:textId="77777777">
        <w:tc>
          <w:tcPr>
            <w:tcW w:w="4508" w:type="dxa"/>
            <w:shd w:val="clear" w:color="auto" w:fill="auto"/>
            <w:vAlign w:val="center"/>
          </w:tcPr>
          <w:p w14:paraId="74641578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9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Dividend payment: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3E988BDD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 xml:space="preserve">VND69,557,000,000 </w:t>
            </w:r>
          </w:p>
        </w:tc>
      </w:tr>
      <w:tr w:rsidR="00980B69" w:rsidRPr="001B7398" w14:paraId="6AD0940D" w14:textId="77777777">
        <w:tc>
          <w:tcPr>
            <w:tcW w:w="4508" w:type="dxa"/>
            <w:shd w:val="clear" w:color="auto" w:fill="auto"/>
            <w:vAlign w:val="center"/>
          </w:tcPr>
          <w:p w14:paraId="4577A9A0" w14:textId="77777777" w:rsidR="00980B69" w:rsidRPr="001B7398" w:rsidRDefault="00290363" w:rsidP="0067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9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Dividend payment rate: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1AB347A7" w14:textId="77777777" w:rsidR="00980B69" w:rsidRPr="001B7398" w:rsidRDefault="00290363" w:rsidP="0067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B7398">
              <w:rPr>
                <w:rFonts w:ascii="Arial" w:hAnsi="Arial"/>
                <w:color w:val="010000"/>
                <w:sz w:val="20"/>
              </w:rPr>
              <w:t>12%</w:t>
            </w:r>
          </w:p>
        </w:tc>
      </w:tr>
    </w:tbl>
    <w:p w14:paraId="5ECCB460" w14:textId="12B233DC" w:rsidR="00980B69" w:rsidRPr="001B7398" w:rsidRDefault="00290363" w:rsidP="00671E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 xml:space="preserve">Approve the Proposal on the Audited Financial Statements 2023 and </w:t>
      </w:r>
      <w:r w:rsidR="00671E9C" w:rsidRPr="001B7398">
        <w:rPr>
          <w:rFonts w:ascii="Arial" w:hAnsi="Arial"/>
          <w:color w:val="010000"/>
          <w:sz w:val="20"/>
        </w:rPr>
        <w:t>adjust</w:t>
      </w:r>
      <w:r w:rsidRPr="001B7398">
        <w:rPr>
          <w:rFonts w:ascii="Arial" w:hAnsi="Arial"/>
          <w:color w:val="010000"/>
          <w:sz w:val="20"/>
        </w:rPr>
        <w:t xml:space="preserve"> the Financial Statements 2023 according to Official Dispatch No. 3415/UBND-STC dated June 25, 2024 of the Da Nang People’s Committee.</w:t>
      </w:r>
    </w:p>
    <w:p w14:paraId="6E30B83D" w14:textId="4C93FD9D" w:rsidR="00980B69" w:rsidRPr="001B7398" w:rsidRDefault="00290363" w:rsidP="00671E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3"/>
        </w:tabs>
        <w:spacing w:after="120" w:line="360" w:lineRule="auto"/>
        <w:rPr>
          <w:rFonts w:ascii="Arial" w:eastAsia="Arial" w:hAnsi="Arial" w:cs="Arial"/>
          <w:b/>
          <w:bCs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 xml:space="preserve">Approve the Proposal on the appropriation for funds, profit distribution, dividend payment in 2023, plan on the appropriation for funds, </w:t>
      </w:r>
      <w:r w:rsidR="001B7398" w:rsidRPr="001B7398">
        <w:rPr>
          <w:rFonts w:ascii="Arial" w:hAnsi="Arial"/>
          <w:color w:val="010000"/>
          <w:sz w:val="20"/>
        </w:rPr>
        <w:t xml:space="preserve">and </w:t>
      </w:r>
      <w:r w:rsidRPr="001B7398">
        <w:rPr>
          <w:rFonts w:ascii="Arial" w:hAnsi="Arial"/>
          <w:color w:val="010000"/>
          <w:sz w:val="20"/>
        </w:rPr>
        <w:t xml:space="preserve">profit distribution for 2024. </w:t>
      </w:r>
    </w:p>
    <w:p w14:paraId="5E18F58B" w14:textId="64755B8E" w:rsidR="00980B69" w:rsidRPr="001B7398" w:rsidRDefault="00290363" w:rsidP="00671E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 xml:space="preserve">Approve the Proposal on the salary and remuneration fund for the Board of Directors, </w:t>
      </w:r>
      <w:r w:rsidR="001B7398" w:rsidRPr="001B7398">
        <w:rPr>
          <w:rFonts w:ascii="Arial" w:hAnsi="Arial"/>
          <w:color w:val="010000"/>
          <w:sz w:val="20"/>
        </w:rPr>
        <w:t xml:space="preserve">and </w:t>
      </w:r>
      <w:r w:rsidRPr="001B7398">
        <w:rPr>
          <w:rFonts w:ascii="Arial" w:hAnsi="Arial"/>
          <w:color w:val="010000"/>
          <w:sz w:val="20"/>
        </w:rPr>
        <w:t xml:space="preserve">the Supervisory Board in 2023 and the plan on salary and remuneration fund for 2024. </w:t>
      </w:r>
    </w:p>
    <w:p w14:paraId="7E90B939" w14:textId="77777777" w:rsidR="00980B69" w:rsidRPr="001B7398" w:rsidRDefault="00290363" w:rsidP="00671E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 xml:space="preserve">Approve the Proposal on selecting an independent audit company to audit the Financial Statements 2024. </w:t>
      </w:r>
    </w:p>
    <w:p w14:paraId="111EB6D9" w14:textId="05464988" w:rsidR="00980B69" w:rsidRPr="001B7398" w:rsidRDefault="00290363" w:rsidP="00671E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 xml:space="preserve">‎‎Article 2. Assign the Board of Directors, </w:t>
      </w:r>
      <w:r w:rsidR="001B7398" w:rsidRPr="001B7398">
        <w:rPr>
          <w:rFonts w:ascii="Arial" w:hAnsi="Arial"/>
          <w:color w:val="010000"/>
          <w:sz w:val="20"/>
        </w:rPr>
        <w:t xml:space="preserve">and </w:t>
      </w:r>
      <w:r w:rsidRPr="001B7398">
        <w:rPr>
          <w:rFonts w:ascii="Arial" w:hAnsi="Arial"/>
          <w:color w:val="010000"/>
          <w:sz w:val="20"/>
        </w:rPr>
        <w:t xml:space="preserve">the Executive Board, based on their functions and tasks, to organize and implement the contents in Article 1 in accordance with the organization and operation Charter of </w:t>
      </w:r>
      <w:proofErr w:type="gramStart"/>
      <w:r w:rsidRPr="001B7398">
        <w:rPr>
          <w:rFonts w:ascii="Arial" w:hAnsi="Arial"/>
          <w:color w:val="010000"/>
          <w:sz w:val="20"/>
        </w:rPr>
        <w:t>Da</w:t>
      </w:r>
      <w:proofErr w:type="gramEnd"/>
      <w:r w:rsidRPr="001B7398">
        <w:rPr>
          <w:rFonts w:ascii="Arial" w:hAnsi="Arial"/>
          <w:color w:val="010000"/>
          <w:sz w:val="20"/>
        </w:rPr>
        <w:t xml:space="preserve"> Nang Water Supply Joint Stock Company and the current state law.</w:t>
      </w:r>
    </w:p>
    <w:p w14:paraId="62594F1D" w14:textId="77777777" w:rsidR="00980B69" w:rsidRPr="001B7398" w:rsidRDefault="00290363" w:rsidP="00671E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>‎‎Article 3. Terms of enforcement.</w:t>
      </w:r>
    </w:p>
    <w:p w14:paraId="173CF2CA" w14:textId="5C289CD4" w:rsidR="00980B69" w:rsidRPr="001B7398" w:rsidRDefault="00290363" w:rsidP="00671E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B7398">
        <w:rPr>
          <w:rFonts w:ascii="Arial" w:hAnsi="Arial"/>
          <w:color w:val="010000"/>
          <w:sz w:val="20"/>
        </w:rPr>
        <w:t xml:space="preserve">This General Mandate was approved by the Annual General Meeting of Shareholders 2024 of Da Nang Water Supply Joint Stock Company and takes effect immediately after the Meeting </w:t>
      </w:r>
      <w:r w:rsidR="001B7398" w:rsidRPr="001B7398">
        <w:rPr>
          <w:rFonts w:ascii="Arial" w:hAnsi="Arial"/>
          <w:color w:val="010000"/>
          <w:sz w:val="20"/>
        </w:rPr>
        <w:t>on</w:t>
      </w:r>
      <w:r w:rsidRPr="001B7398">
        <w:rPr>
          <w:rFonts w:ascii="Arial" w:hAnsi="Arial"/>
          <w:color w:val="010000"/>
          <w:sz w:val="20"/>
        </w:rPr>
        <w:t xml:space="preserve"> June 26, 2024.</w:t>
      </w:r>
    </w:p>
    <w:sectPr w:rsidR="00980B69" w:rsidRPr="001B7398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50"/>
    <w:multiLevelType w:val="multilevel"/>
    <w:tmpl w:val="E87EE2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30F2"/>
    <w:multiLevelType w:val="multilevel"/>
    <w:tmpl w:val="FF6C9D88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73DA"/>
    <w:multiLevelType w:val="multilevel"/>
    <w:tmpl w:val="8E3C31F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C24656"/>
    <w:multiLevelType w:val="multilevel"/>
    <w:tmpl w:val="0942A8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E2160E"/>
    <w:multiLevelType w:val="multilevel"/>
    <w:tmpl w:val="B534FC34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4286A47"/>
    <w:multiLevelType w:val="multilevel"/>
    <w:tmpl w:val="CCC8CDF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9"/>
    <w:rsid w:val="000812FB"/>
    <w:rsid w:val="001B7398"/>
    <w:rsid w:val="00290363"/>
    <w:rsid w:val="003E2BE6"/>
    <w:rsid w:val="00671E9C"/>
    <w:rsid w:val="009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88FAE"/>
  <w15:docId w15:val="{8365A273-9BA2-4B06-B8AC-4341A76B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B2353C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88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B2353C"/>
      <w:sz w:val="19"/>
      <w:szCs w:val="19"/>
    </w:rPr>
  </w:style>
  <w:style w:type="table" w:styleId="TableGrid">
    <w:name w:val="Table Grid"/>
    <w:basedOn w:val="TableNormal"/>
    <w:uiPriority w:val="39"/>
    <w:rsid w:val="00D1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TwlQBUpHUaOz6HZ/X03epUrpqQ==">CgMxLjAyCGguZ2pkZ3hzOAByITFyRHYwN0FjMHViNDJKcWt0eVVFT1Y5cWVfTmlLYUhQag==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6</cp:revision>
  <dcterms:created xsi:type="dcterms:W3CDTF">2024-06-28T04:40:00Z</dcterms:created>
  <dcterms:modified xsi:type="dcterms:W3CDTF">2024-07-02T03:39:00Z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80041491e4fbcf360edf69bb49820f50dfe9d8b525c0e7ba6dd28b3d3f535b18</vt:lpwstr>
  </property>
</Properties>
</file>