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7CE0" w:rsidRDefault="00207EA9" w:rsidP="00207EA9">
      <w:pPr>
        <w:keepNext/>
        <w:keepLines/>
        <w:pBdr>
          <w:top w:val="nil"/>
          <w:left w:val="nil"/>
          <w:bottom w:val="nil"/>
          <w:right w:val="nil"/>
          <w:between w:val="nil"/>
        </w:pBdr>
        <w:tabs>
          <w:tab w:val="left" w:pos="519"/>
        </w:tabs>
        <w:spacing w:after="120" w:line="360" w:lineRule="auto"/>
        <w:jc w:val="both"/>
        <w:rPr>
          <w:rFonts w:ascii="Arial" w:eastAsia="Arial" w:hAnsi="Arial" w:cs="Arial"/>
          <w:b/>
          <w:sz w:val="20"/>
          <w:szCs w:val="20"/>
        </w:rPr>
      </w:pPr>
      <w:r>
        <w:rPr>
          <w:rFonts w:ascii="Arial" w:hAnsi="Arial"/>
          <w:b/>
          <w:sz w:val="20"/>
        </w:rPr>
        <w:t>DTG: Report on results of share issuance to pay dividends in 2023</w:t>
      </w:r>
    </w:p>
    <w:p w14:paraId="00000002" w14:textId="77777777" w:rsidR="00337CE0" w:rsidRDefault="00207EA9" w:rsidP="00207EA9">
      <w:pPr>
        <w:keepNext/>
        <w:keepLines/>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On June 28, 2024, Tipharco Pharmaceutical Joint Stock Company announced Report No. 568/2024/TIPHARCO on results of share issuance to pay dividends as follows:</w:t>
      </w:r>
    </w:p>
    <w:p w14:paraId="00000003" w14:textId="77777777" w:rsidR="00337CE0" w:rsidRDefault="00207EA9" w:rsidP="00207EA9">
      <w:pPr>
        <w:keepNext/>
        <w:keepLines/>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I. Plan on share issuance</w:t>
      </w:r>
    </w:p>
    <w:p w14:paraId="00000004"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Share name: Shares of Tipharco Pharmaceutic</w:t>
      </w:r>
      <w:bookmarkStart w:id="0" w:name="_GoBack"/>
      <w:bookmarkEnd w:id="0"/>
      <w:r>
        <w:rPr>
          <w:rFonts w:ascii="Arial" w:hAnsi="Arial"/>
          <w:sz w:val="20"/>
        </w:rPr>
        <w:t>al Joint Stock Company</w:t>
      </w:r>
    </w:p>
    <w:p w14:paraId="00000005"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Share type:</w:t>
      </w:r>
      <w:r>
        <w:rPr>
          <w:rFonts w:ascii="Arial" w:hAnsi="Arial"/>
          <w:sz w:val="20"/>
        </w:rPr>
        <w:t xml:space="preserve"> Common share</w:t>
      </w:r>
    </w:p>
    <w:p w14:paraId="00000006"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Number of shares before issuance:</w:t>
      </w:r>
    </w:p>
    <w:p w14:paraId="00000007" w14:textId="77777777" w:rsidR="00337CE0" w:rsidRDefault="00207EA9" w:rsidP="00207EA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Number of issued shares: 7,263,210 shares;</w:t>
      </w:r>
    </w:p>
    <w:p w14:paraId="00000008" w14:textId="77777777" w:rsidR="00337CE0" w:rsidRDefault="00207EA9" w:rsidP="00207EA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Number of outstanding shares:</w:t>
      </w:r>
      <w:r>
        <w:rPr>
          <w:rFonts w:ascii="Arial" w:hAnsi="Arial"/>
          <w:sz w:val="20"/>
        </w:rPr>
        <w:t xml:space="preserve"> </w:t>
      </w:r>
      <w:r>
        <w:rPr>
          <w:rFonts w:ascii="Arial" w:hAnsi="Arial"/>
          <w:sz w:val="20"/>
        </w:rPr>
        <w:t>7,263,210 shares;</w:t>
      </w:r>
    </w:p>
    <w:p w14:paraId="00000009" w14:textId="77777777" w:rsidR="00337CE0" w:rsidRDefault="00207EA9" w:rsidP="00207EA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Number of treasury shares:              </w:t>
      </w:r>
      <w:r>
        <w:rPr>
          <w:rFonts w:ascii="Arial" w:hAnsi="Arial"/>
          <w:sz w:val="20"/>
        </w:rPr>
        <w:t xml:space="preserve">     </w:t>
      </w:r>
      <w:r>
        <w:rPr>
          <w:rFonts w:ascii="Arial" w:hAnsi="Arial"/>
          <w:sz w:val="20"/>
        </w:rPr>
        <w:t xml:space="preserve"> 0 shares.</w:t>
      </w:r>
    </w:p>
    <w:p w14:paraId="0000000A"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Number of shares expected to be issued:</w:t>
      </w:r>
      <w:r>
        <w:rPr>
          <w:rFonts w:ascii="Arial" w:hAnsi="Arial"/>
          <w:sz w:val="20"/>
        </w:rPr>
        <w:t xml:space="preserve"> 1,089,481 shares</w:t>
      </w:r>
    </w:p>
    <w:p w14:paraId="0000000B"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Rights exercise rate:</w:t>
      </w:r>
      <w:r>
        <w:rPr>
          <w:rFonts w:ascii="Arial" w:hAnsi="Arial"/>
          <w:sz w:val="20"/>
        </w:rPr>
        <w:t xml:space="preserve"> 100:15 (01 share owned by shareholders corresponds to 01 right; for every 100 rights, shareholders/owners will receive 15 new shares)</w:t>
      </w:r>
    </w:p>
    <w:p w14:paraId="0000000C"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Capital source for the issuance: Undistributed profit after tax as of December 31, 2023 in the Audited Consolidated Financial Statements 2023.</w:t>
      </w:r>
    </w:p>
    <w:p w14:paraId="0000000D"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Plan on handling fractional shares:</w:t>
      </w:r>
      <w:r>
        <w:rPr>
          <w:rFonts w:ascii="Arial" w:hAnsi="Arial"/>
          <w:sz w:val="20"/>
        </w:rPr>
        <w:t xml:space="preserve"> </w:t>
      </w:r>
      <w:r>
        <w:rPr>
          <w:rFonts w:ascii="Arial" w:hAnsi="Arial"/>
          <w:sz w:val="20"/>
        </w:rPr>
        <w:t xml:space="preserve">The number of additional shares issued to pay dividends when distributing to </w:t>
      </w:r>
      <w:r>
        <w:rPr>
          <w:rFonts w:ascii="Arial" w:hAnsi="Arial"/>
          <w:sz w:val="20"/>
        </w:rPr>
        <w:t>shareholders will be rounded down to the unit. The fractional shares incurring due to rounding down (if any) will be canceled.</w:t>
      </w:r>
    </w:p>
    <w:p w14:paraId="0000000E" w14:textId="77777777" w:rsidR="00337CE0" w:rsidRDefault="00207EA9" w:rsidP="00207EA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For example:</w:t>
      </w:r>
      <w:r>
        <w:rPr>
          <w:rFonts w:ascii="Arial" w:hAnsi="Arial"/>
          <w:sz w:val="20"/>
        </w:rPr>
        <w:t xml:space="preserve"> </w:t>
      </w:r>
      <w:r>
        <w:rPr>
          <w:rFonts w:ascii="Arial" w:hAnsi="Arial"/>
          <w:sz w:val="20"/>
        </w:rPr>
        <w:t xml:space="preserve">On the record date for the list of shareholders to issue additional shares to pay dividends, shareholder Nguyen Van </w:t>
      </w:r>
      <w:r>
        <w:rPr>
          <w:rFonts w:ascii="Arial" w:hAnsi="Arial"/>
          <w:sz w:val="20"/>
        </w:rPr>
        <w:t>A owns 165 shares.</w:t>
      </w:r>
      <w:r>
        <w:rPr>
          <w:rFonts w:ascii="Arial" w:hAnsi="Arial"/>
          <w:sz w:val="20"/>
        </w:rPr>
        <w:t xml:space="preserve"> At that time, shareholder A will receive 165*15% = 24.75 additional shares. </w:t>
      </w:r>
      <w:r>
        <w:rPr>
          <w:rFonts w:ascii="Arial" w:hAnsi="Arial"/>
          <w:sz w:val="20"/>
        </w:rPr>
        <w:t>According to the plan on handling fractional shares, the number of shares received by shareholder A after rounding down to the unit is 24 shares. 0.75 fractional</w:t>
      </w:r>
      <w:r>
        <w:rPr>
          <w:rFonts w:ascii="Arial" w:hAnsi="Arial"/>
          <w:sz w:val="20"/>
        </w:rPr>
        <w:t xml:space="preserve"> shares will be canceled.</w:t>
      </w:r>
    </w:p>
    <w:p w14:paraId="0000000F"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Issue end date:</w:t>
      </w:r>
      <w:r>
        <w:rPr>
          <w:rFonts w:ascii="Arial" w:hAnsi="Arial"/>
          <w:sz w:val="20"/>
        </w:rPr>
        <w:t xml:space="preserve"> June 20, 2024</w:t>
      </w:r>
    </w:p>
    <w:p w14:paraId="00000010" w14:textId="77777777" w:rsidR="00337CE0" w:rsidRDefault="00207EA9" w:rsidP="00207EA9">
      <w:pPr>
        <w:numPr>
          <w:ilvl w:val="0"/>
          <w:numId w:val="3"/>
        </w:numPr>
        <w:pBdr>
          <w:top w:val="nil"/>
          <w:left w:val="nil"/>
          <w:bottom w:val="nil"/>
          <w:right w:val="nil"/>
          <w:between w:val="nil"/>
        </w:pBdr>
        <w:tabs>
          <w:tab w:val="left" w:pos="519"/>
        </w:tabs>
        <w:spacing w:after="120" w:line="360" w:lineRule="auto"/>
        <w:jc w:val="both"/>
        <w:rPr>
          <w:rFonts w:ascii="Arial" w:eastAsia="Arial" w:hAnsi="Arial" w:cs="Arial"/>
          <w:sz w:val="20"/>
          <w:szCs w:val="20"/>
        </w:rPr>
      </w:pPr>
      <w:r>
        <w:rPr>
          <w:rFonts w:ascii="Arial" w:hAnsi="Arial"/>
          <w:sz w:val="20"/>
        </w:rPr>
        <w:t xml:space="preserve">Expected date to transfer shares: </w:t>
      </w:r>
      <w:r>
        <w:rPr>
          <w:rFonts w:ascii="Arial" w:hAnsi="Arial"/>
          <w:sz w:val="20"/>
        </w:rPr>
        <w:t>Expected in Q2 or Q3/2024, after the Company is notified in writing by the State Securities Commission of receiving the Report on issue results.</w:t>
      </w:r>
    </w:p>
    <w:p w14:paraId="00000011" w14:textId="77777777" w:rsidR="00337CE0" w:rsidRDefault="00207EA9" w:rsidP="00207EA9">
      <w:pPr>
        <w:keepNext/>
        <w:keepLines/>
        <w:pBdr>
          <w:top w:val="nil"/>
          <w:left w:val="nil"/>
          <w:bottom w:val="nil"/>
          <w:right w:val="nil"/>
          <w:between w:val="nil"/>
        </w:pBdr>
        <w:tabs>
          <w:tab w:val="left" w:pos="682"/>
        </w:tabs>
        <w:spacing w:after="120" w:line="360" w:lineRule="auto"/>
        <w:jc w:val="both"/>
        <w:rPr>
          <w:rFonts w:ascii="Arial" w:eastAsia="Arial" w:hAnsi="Arial" w:cs="Arial"/>
          <w:sz w:val="20"/>
          <w:szCs w:val="20"/>
        </w:rPr>
      </w:pPr>
      <w:r>
        <w:rPr>
          <w:rFonts w:ascii="Arial" w:hAnsi="Arial"/>
          <w:sz w:val="20"/>
        </w:rPr>
        <w:t>II. Results of the sh</w:t>
      </w:r>
      <w:r>
        <w:rPr>
          <w:rFonts w:ascii="Arial" w:hAnsi="Arial"/>
          <w:sz w:val="20"/>
        </w:rPr>
        <w:t>are issuance:</w:t>
      </w:r>
    </w:p>
    <w:p w14:paraId="00000012" w14:textId="77777777" w:rsidR="00337CE0" w:rsidRDefault="00207EA9" w:rsidP="00207EA9">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Total number of distributed shares:</w:t>
      </w:r>
      <w:r>
        <w:rPr>
          <w:rFonts w:ascii="Arial" w:hAnsi="Arial"/>
          <w:sz w:val="20"/>
        </w:rPr>
        <w:t xml:space="preserve"> 1,089,363 shares, in which:</w:t>
      </w:r>
    </w:p>
    <w:p w14:paraId="00000013" w14:textId="77777777" w:rsidR="00337CE0" w:rsidRDefault="00207EA9" w:rsidP="00207EA9">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Number of shares distributed to shareholders according to the rate: 1,089,363 shares for 315 shareholders (*);</w:t>
      </w:r>
    </w:p>
    <w:p w14:paraId="00000014" w14:textId="77777777" w:rsidR="00337CE0" w:rsidRDefault="00207EA9" w:rsidP="00207EA9">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Number of fractional shares handled: </w:t>
      </w:r>
      <w:r>
        <w:rPr>
          <w:rFonts w:ascii="Arial" w:hAnsi="Arial"/>
          <w:sz w:val="20"/>
        </w:rPr>
        <w:t>118 shares (these fractional shares will be canceled)</w:t>
      </w:r>
    </w:p>
    <w:p w14:paraId="00000015" w14:textId="77777777" w:rsidR="00337CE0" w:rsidRDefault="00207EA9" w:rsidP="00207EA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The total number of shareholders of the Company at the time of recording the list of shareholders on June 20, 2024 is 344 shareholders. However, based on the rights exercise rate of 100:15 (01 share</w:t>
      </w:r>
      <w:r>
        <w:rPr>
          <w:rFonts w:ascii="Arial" w:hAnsi="Arial"/>
          <w:sz w:val="20"/>
        </w:rPr>
        <w:t xml:space="preserve"> owned by shareholders corresponds to 01 right; for every 100 rights, shareholders/owners will receive </w:t>
      </w:r>
      <w:r>
        <w:rPr>
          <w:rFonts w:ascii="Arial" w:hAnsi="Arial"/>
          <w:sz w:val="20"/>
        </w:rPr>
        <w:lastRenderedPageBreak/>
        <w:t>15 new shares), shareholders owning less than 6 shares will not receive shares issued to pay dividends. Thus, the number of shareholders receiving shares</w:t>
      </w:r>
      <w:r>
        <w:rPr>
          <w:rFonts w:ascii="Arial" w:hAnsi="Arial"/>
          <w:sz w:val="20"/>
        </w:rPr>
        <w:t xml:space="preserve"> issued to pay dividends is 315 shareholders.</w:t>
      </w:r>
    </w:p>
    <w:p w14:paraId="00000016" w14:textId="77777777" w:rsidR="00337CE0" w:rsidRDefault="00207EA9" w:rsidP="00207EA9">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Total number of shares after issuance (June 20, 2024): 8,352,573 shares, in which:</w:t>
      </w:r>
    </w:p>
    <w:p w14:paraId="00000017" w14:textId="77777777" w:rsidR="00337CE0" w:rsidRDefault="00207EA9" w:rsidP="00207EA9">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Number of outstanding shares:</w:t>
      </w:r>
      <w:r>
        <w:rPr>
          <w:rFonts w:ascii="Arial" w:hAnsi="Arial"/>
          <w:sz w:val="20"/>
        </w:rPr>
        <w:t xml:space="preserve"> 8,352,573 shares;</w:t>
      </w:r>
    </w:p>
    <w:p w14:paraId="00000018" w14:textId="77777777" w:rsidR="00337CE0" w:rsidRDefault="00207EA9" w:rsidP="00207EA9">
      <w:pPr>
        <w:numPr>
          <w:ilvl w:val="0"/>
          <w:numId w:val="1"/>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Number of treasury shares: 0 shares.</w:t>
      </w:r>
    </w:p>
    <w:sectPr w:rsidR="00337CE0">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5FA"/>
    <w:multiLevelType w:val="multilevel"/>
    <w:tmpl w:val="BB461C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A1E3272"/>
    <w:multiLevelType w:val="multilevel"/>
    <w:tmpl w:val="1688A3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3A16E02"/>
    <w:multiLevelType w:val="multilevel"/>
    <w:tmpl w:val="FFECBEC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E0"/>
    <w:rsid w:val="00207EA9"/>
    <w:rsid w:val="0033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DFD47-F742-41D7-B02B-B1E0FBE1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C5E5E"/>
      <w:sz w:val="19"/>
      <w:szCs w:val="19"/>
      <w:u w:val="none"/>
      <w:shd w:val="clear" w:color="auto" w:fill="auto"/>
    </w:rPr>
  </w:style>
  <w:style w:type="paragraph" w:styleId="BodyText">
    <w:name w:val="Body Text"/>
    <w:basedOn w:val="Normal"/>
    <w:link w:val="BodyTextChar"/>
    <w:qFormat/>
    <w:pPr>
      <w:spacing w:line="343" w:lineRule="auto"/>
    </w:pPr>
    <w:rPr>
      <w:rFonts w:ascii="Times New Roman" w:eastAsia="Times New Roman" w:hAnsi="Times New Roman" w:cs="Times New Roman"/>
      <w:sz w:val="20"/>
      <w:szCs w:val="20"/>
    </w:rPr>
  </w:style>
  <w:style w:type="paragraph" w:customStyle="1" w:styleId="Heading11">
    <w:name w:val="Heading #1"/>
    <w:basedOn w:val="Normal"/>
    <w:link w:val="Heading10"/>
    <w:pPr>
      <w:spacing w:line="274" w:lineRule="auto"/>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197" w:lineRule="auto"/>
      <w:ind w:left="1200" w:hanging="450"/>
    </w:pPr>
    <w:rPr>
      <w:rFonts w:ascii="Tahoma" w:eastAsia="Tahoma" w:hAnsi="Tahoma" w:cs="Tahoma"/>
      <w:sz w:val="19"/>
      <w:szCs w:val="19"/>
    </w:rPr>
  </w:style>
  <w:style w:type="paragraph" w:customStyle="1" w:styleId="Bodytext30">
    <w:name w:val="Body text (3)"/>
    <w:basedOn w:val="Normal"/>
    <w:link w:val="Bodytext3"/>
    <w:rPr>
      <w:rFonts w:ascii="Arial" w:eastAsia="Arial" w:hAnsi="Arial" w:cs="Arial"/>
      <w:b/>
      <w:bCs/>
      <w:color w:val="BC5E5E"/>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ENVeilf2VQR32qkX4Kmji90eA==">CgMxLjA4AHIhMTVBUktrOTgzOHB6UUx3YUFKbk9UNEs2X3hvWWlpMGNl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2024-07-02T03:50:00Z</dcterms:created>
  <dcterms:modified xsi:type="dcterms:W3CDTF">2024-07-03T11:02:00Z</dcterms:modified>
</cp:coreProperties>
</file>