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0EDD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EMG: Annual General Mandate 2024</w:t>
      </w:r>
    </w:p>
    <w:p w14:paraId="69A2DF84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27, 2024, Electrical Mechanical Equipment And Spare Parts Joint Stock Company announced General Mandate No. 86/2024/NQ-DHDCD as follows:</w:t>
      </w:r>
    </w:p>
    <w:p w14:paraId="2865C3BE" w14:textId="78ED8381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1: Approve the Report of </w:t>
      </w:r>
      <w:r w:rsidR="007B730C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Board of Directors and the Executive Board on the business and production results </w:t>
      </w:r>
      <w:r w:rsidR="007B730C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 xml:space="preserve">2023 and the plan </w:t>
      </w:r>
      <w:r w:rsidR="007B730C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 xml:space="preserve">2024, with some key </w:t>
      </w:r>
      <w:r w:rsidR="007B730C">
        <w:rPr>
          <w:rFonts w:ascii="Arial" w:hAnsi="Arial"/>
          <w:sz w:val="20"/>
        </w:rPr>
        <w:t>targets</w:t>
      </w:r>
      <w:r>
        <w:rPr>
          <w:rFonts w:ascii="Arial" w:hAnsi="Arial"/>
          <w:sz w:val="20"/>
        </w:rPr>
        <w:t xml:space="preserve"> as follows:</w:t>
      </w:r>
    </w:p>
    <w:p w14:paraId="631309A4" w14:textId="77777777" w:rsidR="00FA6EEA" w:rsidRDefault="00BD57E1" w:rsidP="00EE3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Results of production and business activities 2023</w:t>
      </w:r>
    </w:p>
    <w:p w14:paraId="6C65CC91" w14:textId="3F2FC49D" w:rsidR="00FA6EEA" w:rsidRPr="007B730C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7B730C">
        <w:rPr>
          <w:rFonts w:ascii="Arial" w:hAnsi="Arial"/>
          <w:i/>
          <w:sz w:val="20"/>
        </w:rPr>
        <w:t xml:space="preserve">Unit: </w:t>
      </w:r>
      <w:r w:rsidR="00992177" w:rsidRPr="007B730C">
        <w:rPr>
          <w:rFonts w:ascii="Arial" w:hAnsi="Arial"/>
          <w:i/>
          <w:sz w:val="20"/>
        </w:rPr>
        <w:t>Thousand VND</w:t>
      </w:r>
    </w:p>
    <w:tbl>
      <w:tblPr>
        <w:tblStyle w:val="a"/>
        <w:tblW w:w="9349" w:type="dxa"/>
        <w:tblLayout w:type="fixed"/>
        <w:tblLook w:val="0000" w:firstRow="0" w:lastRow="0" w:firstColumn="0" w:lastColumn="0" w:noHBand="0" w:noVBand="0"/>
      </w:tblPr>
      <w:tblGrid>
        <w:gridCol w:w="662"/>
        <w:gridCol w:w="3925"/>
        <w:gridCol w:w="1676"/>
        <w:gridCol w:w="1827"/>
        <w:gridCol w:w="1259"/>
      </w:tblGrid>
      <w:tr w:rsidR="00FA6EEA" w14:paraId="2A3D11D7" w14:textId="77777777">
        <w:trPr>
          <w:trHeight w:val="8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65B769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39FDCE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CA8653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900ABA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 2023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CF83CB1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compared to the plan</w:t>
            </w:r>
          </w:p>
        </w:tc>
      </w:tr>
      <w:tr w:rsidR="00FA6EEA" w14:paraId="5CEA218C" w14:textId="77777777">
        <w:trPr>
          <w:trHeight w:val="3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E24026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C3998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E54121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59,514,319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008993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63,096,028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A862C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106%</w:t>
            </w:r>
          </w:p>
        </w:tc>
      </w:tr>
      <w:tr w:rsidR="00FA6EEA" w14:paraId="340D9739" w14:textId="77777777">
        <w:trPr>
          <w:trHeight w:val="29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15D05A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E6D406" w14:textId="2696A36A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A60E76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15,177,896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299887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15,679,247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7146259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103.3%</w:t>
            </w:r>
          </w:p>
        </w:tc>
      </w:tr>
      <w:tr w:rsidR="00FA6EEA" w14:paraId="1F2D1D84" w14:textId="77777777">
        <w:trPr>
          <w:trHeight w:val="2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86F239A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AB57FC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Average income/person/month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FF3849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C31FDB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11,500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4DEB75B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115%</w:t>
            </w:r>
          </w:p>
        </w:tc>
      </w:tr>
      <w:tr w:rsidR="00FA6EEA" w14:paraId="76372E26" w14:textId="77777777">
        <w:trPr>
          <w:trHeight w:val="30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0D2036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D8837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43772C6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E3ADEE9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866757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</w:tbl>
    <w:p w14:paraId="3DF254D3" w14:textId="4ADAD271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Notes: The above revenue figures include internal revenue: </w:t>
      </w:r>
      <w:r w:rsidR="007B730C">
        <w:rPr>
          <w:rFonts w:ascii="Arial" w:hAnsi="Arial"/>
          <w:sz w:val="20"/>
        </w:rPr>
        <w:t xml:space="preserve">of </w:t>
      </w:r>
      <w:r>
        <w:rPr>
          <w:rFonts w:ascii="Arial" w:hAnsi="Arial"/>
          <w:sz w:val="20"/>
        </w:rPr>
        <w:t>VND5.465 billion;</w:t>
      </w:r>
    </w:p>
    <w:p w14:paraId="14AD0795" w14:textId="5FA0DC7C" w:rsidR="00FA6EEA" w:rsidRDefault="00BD57E1" w:rsidP="00EE3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Production and </w:t>
      </w:r>
      <w:r w:rsidR="007B730C">
        <w:rPr>
          <w:rFonts w:ascii="Arial" w:hAnsi="Arial"/>
          <w:sz w:val="20"/>
        </w:rPr>
        <w:t>Business Plan</w:t>
      </w:r>
      <w:r>
        <w:rPr>
          <w:rFonts w:ascii="Arial" w:hAnsi="Arial"/>
          <w:sz w:val="20"/>
        </w:rPr>
        <w:t xml:space="preserve"> 2024</w:t>
      </w:r>
    </w:p>
    <w:p w14:paraId="4D08AC4E" w14:textId="77777777" w:rsidR="00FA6EEA" w:rsidRPr="007B730C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7B730C">
        <w:rPr>
          <w:rFonts w:ascii="Arial" w:hAnsi="Arial"/>
          <w:i/>
          <w:sz w:val="20"/>
        </w:rPr>
        <w:t>Unit: VND1000</w:t>
      </w:r>
    </w:p>
    <w:tbl>
      <w:tblPr>
        <w:tblStyle w:val="a0"/>
        <w:tblW w:w="9350" w:type="dxa"/>
        <w:tblLayout w:type="fixed"/>
        <w:tblLook w:val="0000" w:firstRow="0" w:lastRow="0" w:firstColumn="0" w:lastColumn="0" w:noHBand="0" w:noVBand="0"/>
      </w:tblPr>
      <w:tblGrid>
        <w:gridCol w:w="640"/>
        <w:gridCol w:w="4368"/>
        <w:gridCol w:w="4342"/>
      </w:tblGrid>
      <w:tr w:rsidR="00FA6EEA" w14:paraId="01B0EBCF" w14:textId="77777777">
        <w:trPr>
          <w:trHeight w:val="6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C7099F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C8F81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E1A62E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2024</w:t>
            </w:r>
          </w:p>
        </w:tc>
      </w:tr>
      <w:tr w:rsidR="00FA6EEA" w14:paraId="00F1FCBB" w14:textId="77777777">
        <w:trPr>
          <w:trHeight w:val="2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B53276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01BBE5D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362D0D4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48,762,353</w:t>
            </w:r>
          </w:p>
        </w:tc>
      </w:tr>
      <w:tr w:rsidR="00FA6EEA" w14:paraId="572BA6D8" w14:textId="77777777">
        <w:trPr>
          <w:trHeight w:val="2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E794FBF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F54CF8" w14:textId="081D6646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396B1B1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13,596,390</w:t>
            </w:r>
          </w:p>
        </w:tc>
      </w:tr>
      <w:tr w:rsidR="00FA6EEA" w14:paraId="475F7A18" w14:textId="77777777">
        <w:trPr>
          <w:trHeight w:val="2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0AC9A9D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B45353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Average income/person/month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8ED6C4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12,000</w:t>
            </w:r>
          </w:p>
        </w:tc>
      </w:tr>
      <w:tr w:rsidR="00FA6EEA" w14:paraId="2CEDF154" w14:textId="77777777">
        <w:trPr>
          <w:trHeight w:val="3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4DBBB4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AC03A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payments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E1529B6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15%/year</w:t>
            </w:r>
          </w:p>
        </w:tc>
      </w:tr>
    </w:tbl>
    <w:p w14:paraId="3F4FDE8F" w14:textId="1094490C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Approve the Financial Statements 2023 of the Electrical Mechanical Equipment And Spare Parts Joint Stock Company</w:t>
      </w:r>
      <w:r w:rsidR="00E1490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audited by VACO Auditing Company Limited.</w:t>
      </w:r>
    </w:p>
    <w:p w14:paraId="7619F2E1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Approve the Report of the Supervisory Board of the Electrical Mechanical Equipment And Spare Parts Joint Stock Company on the results of inspection and supervision activities 2023.</w:t>
      </w:r>
    </w:p>
    <w:p w14:paraId="5C87A742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4: Approve the Plan on profit distribution of profit after tax 2023 and the dividend payment plan 2024 as follows:</w:t>
      </w:r>
    </w:p>
    <w:p w14:paraId="5B288330" w14:textId="77777777" w:rsidR="00FA6EEA" w:rsidRPr="007B730C" w:rsidRDefault="00BD57E1" w:rsidP="00EE30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Plan on profit distribution of profit after tax 2023:</w:t>
      </w:r>
    </w:p>
    <w:p w14:paraId="3937647A" w14:textId="77777777" w:rsidR="007B730C" w:rsidRDefault="007B730C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/>
          <w:sz w:val="20"/>
        </w:rPr>
      </w:pPr>
    </w:p>
    <w:p w14:paraId="1D167796" w14:textId="77777777" w:rsidR="007B730C" w:rsidRDefault="007B730C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/>
          <w:sz w:val="20"/>
        </w:rPr>
      </w:pPr>
    </w:p>
    <w:p w14:paraId="01F6721D" w14:textId="77777777" w:rsidR="007B730C" w:rsidRDefault="007B730C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C3DBE13" w14:textId="77777777" w:rsidR="00FA6EEA" w:rsidRPr="007B730C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7B730C">
        <w:rPr>
          <w:rFonts w:ascii="Arial" w:hAnsi="Arial"/>
          <w:i/>
          <w:sz w:val="20"/>
        </w:rPr>
        <w:lastRenderedPageBreak/>
        <w:t>Unit VND</w:t>
      </w:r>
    </w:p>
    <w:tbl>
      <w:tblPr>
        <w:tblStyle w:val="a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225"/>
        <w:gridCol w:w="1148"/>
        <w:gridCol w:w="2416"/>
      </w:tblGrid>
      <w:tr w:rsidR="00FA6EEA" w14:paraId="250C4B07" w14:textId="77777777" w:rsidTr="001563CC">
        <w:trPr>
          <w:trHeight w:val="581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B1BF7D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0BD70E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461A3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68798F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</w:tr>
      <w:tr w:rsidR="00FA6EEA" w14:paraId="7D863C3C" w14:textId="77777777" w:rsidTr="001563CC">
        <w:trPr>
          <w:trHeight w:val="293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3A70A7B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4A00B4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09C213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5670DB9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12,372,353,856</w:t>
            </w:r>
          </w:p>
        </w:tc>
      </w:tr>
      <w:tr w:rsidR="00FA6EEA" w14:paraId="45B4570F" w14:textId="77777777" w:rsidTr="001563CC">
        <w:trPr>
          <w:trHeight w:val="566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</w:tcPr>
          <w:p w14:paraId="21C1B55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F55D771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funds according to the Company's charter: In which: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</w:tcPr>
          <w:p w14:paraId="3B36DCEC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</w:tcPr>
          <w:p w14:paraId="42C61F87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2,474,470,772</w:t>
            </w:r>
          </w:p>
        </w:tc>
      </w:tr>
      <w:tr w:rsidR="00FA6EEA" w14:paraId="57154934" w14:textId="77777777" w:rsidTr="001563CC">
        <w:trPr>
          <w:trHeight w:val="293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</w:tcPr>
          <w:p w14:paraId="327CAC32" w14:textId="77777777" w:rsidR="00FA6EEA" w:rsidRDefault="00FA6EEA" w:rsidP="00EE307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E6DA85" w14:textId="77777777" w:rsidR="00FA6EEA" w:rsidRDefault="00BD57E1" w:rsidP="00EE3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fund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A5A10C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C42BB3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618,617,693</w:t>
            </w:r>
          </w:p>
        </w:tc>
      </w:tr>
      <w:tr w:rsidR="00FA6EEA" w14:paraId="7A1DE3E4" w14:textId="77777777" w:rsidTr="001563CC">
        <w:trPr>
          <w:trHeight w:val="293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</w:tcPr>
          <w:p w14:paraId="66A64573" w14:textId="77777777" w:rsidR="00FA6EEA" w:rsidRDefault="00FA6EEA" w:rsidP="00EE307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3C34CC2" w14:textId="77777777" w:rsidR="00FA6EEA" w:rsidRDefault="00BD57E1" w:rsidP="00EE3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Welfare fund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6646B3E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5730F47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618,617,693</w:t>
            </w:r>
          </w:p>
        </w:tc>
      </w:tr>
      <w:tr w:rsidR="00FA6EEA" w14:paraId="03FE44E4" w14:textId="77777777" w:rsidTr="001563CC">
        <w:trPr>
          <w:trHeight w:val="293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</w:tcPr>
          <w:p w14:paraId="67BC9E82" w14:textId="77777777" w:rsidR="00FA6EEA" w:rsidRDefault="00FA6EEA" w:rsidP="00EE307E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A19C4A8" w14:textId="77777777" w:rsidR="00FA6EEA" w:rsidRDefault="00BD57E1" w:rsidP="00EE3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Investment and development fund.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99A3C4B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D07EC3B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1,237,235,386</w:t>
            </w:r>
          </w:p>
        </w:tc>
      </w:tr>
      <w:tr w:rsidR="00FA6EEA" w14:paraId="046BA83E" w14:textId="77777777" w:rsidTr="001563CC">
        <w:trPr>
          <w:trHeight w:val="288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CA58DCF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3E13C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of 15%/year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8930AE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1D3AF6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4,500,000,000</w:t>
            </w:r>
          </w:p>
        </w:tc>
      </w:tr>
      <w:tr w:rsidR="00FA6EEA" w14:paraId="642B33B3" w14:textId="77777777" w:rsidTr="001563CC">
        <w:trPr>
          <w:trHeight w:val="571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</w:tcPr>
          <w:p w14:paraId="312200D5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086A899" w14:textId="5ADF01DA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Remuneration for members of the Board of Directors and Su</w:t>
            </w:r>
            <w:r w:rsidR="00C565D4">
              <w:rPr>
                <w:rFonts w:ascii="Arial" w:hAnsi="Arial"/>
                <w:sz w:val="20"/>
              </w:rPr>
              <w:t>pervisory Board (non-executive)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</w:tcPr>
          <w:p w14:paraId="48FEB86B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</w:tcPr>
          <w:p w14:paraId="6EF5BB9C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552,000,000</w:t>
            </w:r>
          </w:p>
        </w:tc>
      </w:tr>
      <w:tr w:rsidR="00FA6EEA" w14:paraId="42CED9CC" w14:textId="77777777" w:rsidTr="001563CC">
        <w:trPr>
          <w:trHeight w:val="83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</w:tcPr>
          <w:p w14:paraId="686B46BF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85FCBA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3581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Bonuses for the Board of Directors and Executive Board (General Mandate No. 99/2023/DHDCD dated June 26, 2023).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</w:tcPr>
          <w:p w14:paraId="0D3D68A1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</w:tcPr>
          <w:p w14:paraId="07E3A21D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23,003,705</w:t>
            </w:r>
          </w:p>
        </w:tc>
      </w:tr>
      <w:tr w:rsidR="00FA6EEA" w14:paraId="27C15FE8" w14:textId="77777777" w:rsidTr="001563CC">
        <w:trPr>
          <w:trHeight w:val="307"/>
        </w:trPr>
        <w:tc>
          <w:tcPr>
            <w:tcW w:w="5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48647D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52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7EF00C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Remaining profit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6CC009B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B402B14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4,822,879,379</w:t>
            </w:r>
          </w:p>
        </w:tc>
      </w:tr>
    </w:tbl>
    <w:p w14:paraId="4088FF41" w14:textId="77777777" w:rsidR="00FA6EEA" w:rsidRDefault="00BD57E1" w:rsidP="00EE30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Plan on dividend payment 2024.</w:t>
      </w:r>
    </w:p>
    <w:p w14:paraId="62B52E63" w14:textId="77777777" w:rsidR="00FA6EEA" w:rsidRDefault="00BD57E1" w:rsidP="00EE3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Expected dividend payment 2024: 15%/year</w:t>
      </w:r>
    </w:p>
    <w:p w14:paraId="5BC17AA2" w14:textId="77777777" w:rsidR="00FA6EEA" w:rsidRDefault="00BD57E1" w:rsidP="00EE3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Payment method: In cash/bank transfer</w:t>
      </w:r>
    </w:p>
    <w:p w14:paraId="288A7D8F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5: Approve the remuneration settlement for the Board of Directors &amp; Supervisory Board 2023 and the remuneration payment plan for the Board of Directors &amp; Supervisory Board 2024, as follows:</w:t>
      </w:r>
    </w:p>
    <w:p w14:paraId="63FF8F38" w14:textId="77777777" w:rsidR="00FA6EEA" w:rsidRDefault="00BD57E1" w:rsidP="00EE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Settle the remuneration of the Board of Directors and the Supervisory Board 2023</w:t>
      </w:r>
    </w:p>
    <w:p w14:paraId="5E2640FE" w14:textId="77777777" w:rsidR="00FA6EEA" w:rsidRDefault="00BD57E1" w:rsidP="00EE3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8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remuneration paid to the Board of Directors and Supervisory Board is: 1,104,000,000 (VND/year), including:</w:t>
      </w:r>
    </w:p>
    <w:p w14:paraId="7C982E74" w14:textId="77777777" w:rsidR="00FA6EEA" w:rsidRDefault="00BD57E1" w:rsidP="00EE30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8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Remuneration for the Board of Directors &amp; Supervisory Board (non-executive): 552,000,000 (VND /year)</w:t>
      </w:r>
    </w:p>
    <w:p w14:paraId="753B24B4" w14:textId="77777777" w:rsidR="00FA6EEA" w:rsidRDefault="00BD57E1" w:rsidP="00EE30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8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Remuneration for the Board of Directors &amp; Supervisory Board (executive): 552,000,000 (VND /year)</w:t>
      </w:r>
    </w:p>
    <w:p w14:paraId="78FC044C" w14:textId="77777777" w:rsidR="00FA6EEA" w:rsidRDefault="00BD57E1" w:rsidP="00EE3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Bonus for exceeding the profit target 2023 (10% of the surplus profit after tax as per General Mandate No. 99/2023/NQ-DHDCD dated June 26, 2023) is: VND23,003,705</w:t>
      </w:r>
    </w:p>
    <w:p w14:paraId="773DE200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Therefore, these expenditures are in accordance with the Annual General Mandate of Electrical Mechanical Equipment And Spare Parts Joint Stock Company.</w:t>
      </w:r>
    </w:p>
    <w:p w14:paraId="1C1406B9" w14:textId="77777777" w:rsidR="00FA6EEA" w:rsidRDefault="00BD57E1" w:rsidP="00EE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Plan for remuneration payment to the Board of Directors &amp; Supervisory Board 2024.</w:t>
      </w:r>
    </w:p>
    <w:p w14:paraId="4752B043" w14:textId="77777777" w:rsidR="00FA6EEA" w:rsidRPr="00EE307E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EE307E">
        <w:rPr>
          <w:rFonts w:ascii="Arial" w:hAnsi="Arial"/>
          <w:i/>
          <w:sz w:val="20"/>
        </w:rPr>
        <w:t>Unit VND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139"/>
        <w:gridCol w:w="1913"/>
        <w:gridCol w:w="1864"/>
        <w:gridCol w:w="1769"/>
      </w:tblGrid>
      <w:tr w:rsidR="00FA6EEA" w14:paraId="08D57FD3" w14:textId="77777777">
        <w:trPr>
          <w:trHeight w:val="590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40D800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AB53CA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BA336B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people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534AD8" w14:textId="33846041" w:rsidR="00FA6EEA" w:rsidRDefault="001563CC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Pr="001563CC">
              <w:rPr>
                <w:rFonts w:ascii="Arial" w:hAnsi="Arial"/>
                <w:sz w:val="20"/>
              </w:rPr>
              <w:t xml:space="preserve">oefficient </w:t>
            </w:r>
            <w:r w:rsidR="00BD57E1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C</w:t>
            </w:r>
            <w:r w:rsidR="00BD57E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</w:tcPr>
          <w:p w14:paraId="136AF213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Remuneration plan 2024</w:t>
            </w:r>
          </w:p>
        </w:tc>
      </w:tr>
      <w:tr w:rsidR="00FA6EEA" w14:paraId="418B4474" w14:textId="77777777">
        <w:trPr>
          <w:trHeight w:val="283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195689F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BDB3A42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Board of Directors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56CD0C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10506DA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3.0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8E4833C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864,000,000</w:t>
            </w:r>
          </w:p>
        </w:tc>
      </w:tr>
      <w:tr w:rsidR="00FA6EEA" w14:paraId="7AA81917" w14:textId="77777777">
        <w:trPr>
          <w:trHeight w:val="298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CDDDB3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2BEE168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FDA5AA1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D3921B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2.0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D98D173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288,000,000</w:t>
            </w:r>
          </w:p>
        </w:tc>
      </w:tr>
      <w:tr w:rsidR="00FA6EEA" w14:paraId="12943A7B" w14:textId="77777777">
        <w:trPr>
          <w:trHeight w:val="288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D79246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2135846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B2E7541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0553A51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0AB316F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576,000,000</w:t>
            </w:r>
          </w:p>
        </w:tc>
      </w:tr>
      <w:tr w:rsidR="00FA6EEA" w14:paraId="36AF2F13" w14:textId="77777777">
        <w:trPr>
          <w:trHeight w:val="278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B943B47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0B2EE47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Supervisory Board: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B6C11AE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BEF0BAB" w14:textId="569C3759" w:rsidR="00FA6EEA" w:rsidRDefault="001563CC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BD57E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C9F4F39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288,000,000</w:t>
            </w:r>
          </w:p>
        </w:tc>
      </w:tr>
      <w:tr w:rsidR="00FA6EEA" w14:paraId="51A40853" w14:textId="77777777">
        <w:trPr>
          <w:trHeight w:val="302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9ADBEFF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852756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Chief of the Supervisory Board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42DAE5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3D45610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F6799A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144,000,000</w:t>
            </w:r>
          </w:p>
        </w:tc>
      </w:tr>
      <w:tr w:rsidR="00FA6EEA" w14:paraId="2B208B42" w14:textId="77777777">
        <w:trPr>
          <w:trHeight w:val="317"/>
        </w:trPr>
        <w:tc>
          <w:tcPr>
            <w:tcW w:w="665" w:type="dxa"/>
            <w:shd w:val="clear" w:color="auto" w:fill="FFFFFF"/>
            <w:tcMar>
              <w:top w:w="0" w:type="dxa"/>
              <w:bottom w:w="0" w:type="dxa"/>
            </w:tcMar>
          </w:tcPr>
          <w:p w14:paraId="1CE029E7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bottom w:w="0" w:type="dxa"/>
            </w:tcMar>
          </w:tcPr>
          <w:p w14:paraId="5EB43CE9" w14:textId="77777777" w:rsidR="00FA6EEA" w:rsidRDefault="00BD57E1" w:rsidP="00EE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bottom w:w="0" w:type="dxa"/>
            </w:tcMar>
          </w:tcPr>
          <w:p w14:paraId="4391A71D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bottom w:w="0" w:type="dxa"/>
            </w:tcMar>
          </w:tcPr>
          <w:p w14:paraId="45C4CFAA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0.5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bottom w:w="0" w:type="dxa"/>
            </w:tcMar>
          </w:tcPr>
          <w:p w14:paraId="2A5F7537" w14:textId="77777777" w:rsidR="00FA6EEA" w:rsidRDefault="00BD57E1" w:rsidP="007E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144,000,000</w:t>
            </w:r>
          </w:p>
        </w:tc>
      </w:tr>
    </w:tbl>
    <w:p w14:paraId="1A8B395F" w14:textId="77777777" w:rsidR="00FA6EEA" w:rsidRDefault="00BD57E1" w:rsidP="00EE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Recommendation for rewarding exceeding targets for the Board of Directors and Executive Board:</w:t>
      </w:r>
    </w:p>
    <w:p w14:paraId="6A24B58B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If the profit target 2024 is exceeded, appropriate 10% of the surplus profit after tax to reward the Board of Directors and Executive Board.</w:t>
      </w:r>
    </w:p>
    <w:p w14:paraId="1D559301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6: Approve the selection of an independent audit company for the Financial Statement 2024;</w:t>
      </w:r>
    </w:p>
    <w:p w14:paraId="76F54A5A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9181B"/>
          <w:sz w:val="20"/>
        </w:rPr>
        <w:t>Article 7: Terms of enforcement</w:t>
      </w:r>
    </w:p>
    <w:p w14:paraId="3B32595B" w14:textId="77777777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9181B"/>
          <w:sz w:val="20"/>
        </w:rPr>
        <w:t>This General Mandate was approved by the Annual General Meeting of Shareholders 2024 of Electrical Mechanical Equipment And Spare Parts Joint Stock Company and is effective from June 27, 2024.</w:t>
      </w:r>
    </w:p>
    <w:p w14:paraId="159AB8E0" w14:textId="4CAC1DEE" w:rsidR="00FA6EEA" w:rsidRDefault="00BD57E1" w:rsidP="00EE30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9181B"/>
          <w:sz w:val="20"/>
        </w:rPr>
        <w:t xml:space="preserve">The Annual General Meeting of Shareholders </w:t>
      </w:r>
      <w:r w:rsidR="001563CC">
        <w:rPr>
          <w:rFonts w:ascii="Arial" w:hAnsi="Arial"/>
          <w:color w:val="19181B"/>
          <w:sz w:val="20"/>
        </w:rPr>
        <w:t>assigned</w:t>
      </w:r>
      <w:r>
        <w:rPr>
          <w:rFonts w:ascii="Arial" w:hAnsi="Arial"/>
          <w:color w:val="19181B"/>
          <w:sz w:val="20"/>
        </w:rPr>
        <w:t xml:space="preserve"> the Board of Directors</w:t>
      </w:r>
      <w:r w:rsidR="001563CC">
        <w:rPr>
          <w:rFonts w:ascii="Arial" w:hAnsi="Arial"/>
          <w:color w:val="19181B"/>
          <w:sz w:val="20"/>
        </w:rPr>
        <w:t>, t</w:t>
      </w:r>
      <w:r>
        <w:rPr>
          <w:rFonts w:ascii="Arial" w:hAnsi="Arial"/>
          <w:color w:val="19181B"/>
          <w:sz w:val="20"/>
        </w:rPr>
        <w:t>he Supervisory Board and the Board of Management of the Company, based on their authorities, function and responsibilities, are tasked with organizing and implementing the approved content in a manner that ensures the interests of the Company and the shareholders, in accordance with the Company's charter and current legal regulations.</w:t>
      </w:r>
      <w:bookmarkStart w:id="0" w:name="_GoBack"/>
      <w:bookmarkEnd w:id="0"/>
    </w:p>
    <w:sectPr w:rsidR="00FA6EEA">
      <w:pgSz w:w="12240" w:h="16834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AAE"/>
    <w:multiLevelType w:val="multilevel"/>
    <w:tmpl w:val="1E2834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B646C1"/>
    <w:multiLevelType w:val="multilevel"/>
    <w:tmpl w:val="293A22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29EC"/>
    <w:multiLevelType w:val="multilevel"/>
    <w:tmpl w:val="1BCA5D12"/>
    <w:lvl w:ilvl="0">
      <w:start w:val="1"/>
      <w:numFmt w:val="bullet"/>
      <w:lvlText w:val="*"/>
      <w:lvlJc w:val="left"/>
      <w:pPr>
        <w:ind w:left="91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63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35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841B9E"/>
    <w:multiLevelType w:val="multilevel"/>
    <w:tmpl w:val="6A1E681C"/>
    <w:lvl w:ilvl="0">
      <w:start w:val="1"/>
      <w:numFmt w:val="decimal"/>
      <w:lvlText w:val="%1/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53524"/>
    <w:multiLevelType w:val="multilevel"/>
    <w:tmpl w:val="CC86D4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EA"/>
    <w:rsid w:val="001563CC"/>
    <w:rsid w:val="007B730C"/>
    <w:rsid w:val="007E24AD"/>
    <w:rsid w:val="00992177"/>
    <w:rsid w:val="00BD57E1"/>
    <w:rsid w:val="00C565D4"/>
    <w:rsid w:val="00E1490F"/>
    <w:rsid w:val="00EE307E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00FA"/>
  <w15:docId w15:val="{3F59CC64-0653-4FD1-BCF9-066737F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81B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9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9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19181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s7W75kwSVjYGGyJ85xevdVC12A==">CgMxLjA4AHIhMUFBV05PLXZLaEdxZzJtZm5PRmxRR3RNcWdCRktrX2gx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3841</Characters>
  <Application>Microsoft Office Word</Application>
  <DocSecurity>0</DocSecurity>
  <Lines>174</Lines>
  <Paragraphs>168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2024-07-01T05:00:00Z</dcterms:created>
  <dcterms:modified xsi:type="dcterms:W3CDTF">2024-07-03T08:09:00Z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c971402a401344d97e31ced4d3d1a0c26a797025a2d3df8ffd8171aeb6cefc93</vt:lpwstr>
  </property>
</Properties>
</file>