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813F"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bCs/>
          <w:sz w:val="20"/>
        </w:rPr>
        <w:t>LG9:</w:t>
      </w:r>
      <w:r>
        <w:rPr>
          <w:rFonts w:ascii="Arial" w:hAnsi="Arial"/>
          <w:b/>
          <w:sz w:val="20"/>
        </w:rPr>
        <w:t xml:space="preserve"> Annual General Mandate 2024</w:t>
      </w:r>
    </w:p>
    <w:p w14:paraId="02FE2089"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June 28, 2024, Mechanized Construction and Installation Joint Stock Company announced General Mandate No. 55/2024/NQ-LG9 as follows:</w:t>
      </w:r>
    </w:p>
    <w:p w14:paraId="6A32E8A8" w14:textId="07DBF2B5"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‎‎Article 1. The </w:t>
      </w:r>
      <w:r w:rsidR="008E0382">
        <w:rPr>
          <w:rFonts w:ascii="Arial" w:hAnsi="Arial"/>
          <w:sz w:val="20"/>
        </w:rPr>
        <w:t>General Meeting</w:t>
      </w:r>
      <w:r>
        <w:rPr>
          <w:rFonts w:ascii="Arial" w:hAnsi="Arial"/>
          <w:sz w:val="20"/>
        </w:rPr>
        <w:t xml:space="preserve"> of Mechanized Construction and Installation Joint Stock Company voted for approval of the following General Mandates:</w:t>
      </w:r>
    </w:p>
    <w:p w14:paraId="3E145A69"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General Mandate 1: Approve the Report of the Board of Directors on the operational situation in 2023 and the operating orientation for 2024.</w:t>
      </w:r>
    </w:p>
    <w:p w14:paraId="2DDD55C6" w14:textId="0BF4255F"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General Mandate 2: Approve the Report of the </w:t>
      </w:r>
      <w:r w:rsidR="008E0382">
        <w:rPr>
          <w:rFonts w:ascii="Arial" w:hAnsi="Arial"/>
          <w:sz w:val="20"/>
        </w:rPr>
        <w:t>Managing Director</w:t>
      </w:r>
      <w:r>
        <w:rPr>
          <w:rFonts w:ascii="Arial" w:hAnsi="Arial"/>
          <w:sz w:val="20"/>
        </w:rPr>
        <w:t xml:space="preserve"> on production and business activities results in 2023, production and business plan, and fixed assets investment plan for 2024.</w:t>
      </w:r>
    </w:p>
    <w:p w14:paraId="1F30486D" w14:textId="7E8D82D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General Mandate 3: Approve the Report of the Supervisory Board in 2023, submitted to the </w:t>
      </w:r>
      <w:r w:rsidR="008E0382">
        <w:rPr>
          <w:rFonts w:ascii="Arial" w:hAnsi="Arial"/>
          <w:sz w:val="20"/>
        </w:rPr>
        <w:t>General Meeting</w:t>
      </w:r>
      <w:r>
        <w:rPr>
          <w:rFonts w:ascii="Arial" w:hAnsi="Arial"/>
          <w:sz w:val="20"/>
        </w:rPr>
        <w:t xml:space="preserve"> 2024.</w:t>
      </w:r>
    </w:p>
    <w:p w14:paraId="1A57399E"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General Mandate 4: Approve the Audited Financial Statements 2023.</w:t>
      </w:r>
    </w:p>
    <w:p w14:paraId="1F4A28D5" w14:textId="6337766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General Mandate 5: Approve the Proposal on approving the results of production and business results in 2023 and the plan on production and business, fixed assets investment for 2024.</w:t>
      </w:r>
    </w:p>
    <w:p w14:paraId="7B0D4353" w14:textId="77777777" w:rsidR="008219AB" w:rsidRDefault="00A32A77" w:rsidP="008E0382">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Results of production and business activities in 2023</w:t>
      </w:r>
    </w:p>
    <w:tbl>
      <w:tblPr>
        <w:tblStyle w:val="a"/>
        <w:tblW w:w="9019" w:type="dxa"/>
        <w:tblLayout w:type="fixed"/>
        <w:tblLook w:val="0000" w:firstRow="0" w:lastRow="0" w:firstColumn="0" w:lastColumn="0" w:noHBand="0" w:noVBand="0"/>
      </w:tblPr>
      <w:tblGrid>
        <w:gridCol w:w="670"/>
        <w:gridCol w:w="2893"/>
        <w:gridCol w:w="1117"/>
        <w:gridCol w:w="1411"/>
        <w:gridCol w:w="1456"/>
        <w:gridCol w:w="1472"/>
      </w:tblGrid>
      <w:tr w:rsidR="008219AB" w14:paraId="7D932709" w14:textId="77777777">
        <w:trPr>
          <w:trHeight w:val="763"/>
        </w:trPr>
        <w:tc>
          <w:tcPr>
            <w:tcW w:w="670" w:type="dxa"/>
            <w:tcBorders>
              <w:top w:val="single" w:sz="4" w:space="0" w:color="000000"/>
              <w:left w:val="single" w:sz="4" w:space="0" w:color="000000"/>
            </w:tcBorders>
            <w:shd w:val="clear" w:color="auto" w:fill="FFFFFF"/>
            <w:tcMar>
              <w:top w:w="0" w:type="dxa"/>
              <w:bottom w:w="0" w:type="dxa"/>
            </w:tcMar>
            <w:vAlign w:val="center"/>
          </w:tcPr>
          <w:p w14:paraId="46DCC01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2893" w:type="dxa"/>
            <w:tcBorders>
              <w:top w:val="single" w:sz="4" w:space="0" w:color="000000"/>
              <w:left w:val="single" w:sz="4" w:space="0" w:color="000000"/>
            </w:tcBorders>
            <w:shd w:val="clear" w:color="auto" w:fill="FFFFFF"/>
            <w:tcMar>
              <w:top w:w="0" w:type="dxa"/>
              <w:bottom w:w="0" w:type="dxa"/>
            </w:tcMar>
            <w:vAlign w:val="center"/>
          </w:tcPr>
          <w:p w14:paraId="1DC1EC6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117" w:type="dxa"/>
            <w:tcBorders>
              <w:top w:val="single" w:sz="4" w:space="0" w:color="000000"/>
              <w:left w:val="single" w:sz="4" w:space="0" w:color="000000"/>
            </w:tcBorders>
            <w:shd w:val="clear" w:color="auto" w:fill="FFFFFF"/>
            <w:tcMar>
              <w:top w:w="0" w:type="dxa"/>
              <w:bottom w:w="0" w:type="dxa"/>
            </w:tcMar>
            <w:vAlign w:val="bottom"/>
          </w:tcPr>
          <w:p w14:paraId="3397E2A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1411" w:type="dxa"/>
            <w:tcBorders>
              <w:top w:val="single" w:sz="4" w:space="0" w:color="000000"/>
              <w:left w:val="single" w:sz="4" w:space="0" w:color="000000"/>
            </w:tcBorders>
            <w:shd w:val="clear" w:color="auto" w:fill="FFFFFF"/>
            <w:tcMar>
              <w:top w:w="0" w:type="dxa"/>
              <w:bottom w:w="0" w:type="dxa"/>
            </w:tcMar>
            <w:vAlign w:val="bottom"/>
          </w:tcPr>
          <w:p w14:paraId="64DFA87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2023</w:t>
            </w:r>
          </w:p>
        </w:tc>
        <w:tc>
          <w:tcPr>
            <w:tcW w:w="1456" w:type="dxa"/>
            <w:tcBorders>
              <w:top w:val="single" w:sz="4" w:space="0" w:color="000000"/>
              <w:left w:val="single" w:sz="4" w:space="0" w:color="000000"/>
            </w:tcBorders>
            <w:shd w:val="clear" w:color="auto" w:fill="FFFFFF"/>
            <w:tcMar>
              <w:top w:w="0" w:type="dxa"/>
              <w:bottom w:w="0" w:type="dxa"/>
            </w:tcMar>
            <w:vAlign w:val="bottom"/>
          </w:tcPr>
          <w:p w14:paraId="734FB29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 2023</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5383AD10"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Results/Plan (%)</w:t>
            </w:r>
          </w:p>
        </w:tc>
      </w:tr>
      <w:tr w:rsidR="008219AB" w14:paraId="7AAAF327" w14:textId="77777777">
        <w:trPr>
          <w:trHeight w:val="744"/>
        </w:trPr>
        <w:tc>
          <w:tcPr>
            <w:tcW w:w="670" w:type="dxa"/>
            <w:tcBorders>
              <w:top w:val="single" w:sz="4" w:space="0" w:color="000000"/>
              <w:left w:val="single" w:sz="4" w:space="0" w:color="000000"/>
            </w:tcBorders>
            <w:shd w:val="clear" w:color="auto" w:fill="FFFFFF"/>
            <w:tcMar>
              <w:top w:w="0" w:type="dxa"/>
              <w:bottom w:w="0" w:type="dxa"/>
            </w:tcMar>
            <w:vAlign w:val="center"/>
          </w:tcPr>
          <w:p w14:paraId="114D778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2893" w:type="dxa"/>
            <w:tcBorders>
              <w:top w:val="single" w:sz="4" w:space="0" w:color="000000"/>
              <w:left w:val="single" w:sz="4" w:space="0" w:color="000000"/>
            </w:tcBorders>
            <w:shd w:val="clear" w:color="auto" w:fill="FFFFFF"/>
            <w:tcMar>
              <w:top w:w="0" w:type="dxa"/>
              <w:bottom w:w="0" w:type="dxa"/>
            </w:tcMar>
            <w:vAlign w:val="center"/>
          </w:tcPr>
          <w:p w14:paraId="63EE9E2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Production value</w:t>
            </w:r>
          </w:p>
        </w:tc>
        <w:tc>
          <w:tcPr>
            <w:tcW w:w="1117" w:type="dxa"/>
            <w:tcBorders>
              <w:top w:val="single" w:sz="4" w:space="0" w:color="000000"/>
              <w:left w:val="single" w:sz="4" w:space="0" w:color="000000"/>
            </w:tcBorders>
            <w:shd w:val="clear" w:color="auto" w:fill="FFFFFF"/>
            <w:tcMar>
              <w:top w:w="0" w:type="dxa"/>
              <w:bottom w:w="0" w:type="dxa"/>
            </w:tcMar>
            <w:vAlign w:val="center"/>
          </w:tcPr>
          <w:p w14:paraId="54361589"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tcBorders>
            <w:shd w:val="clear" w:color="auto" w:fill="FFFFFF"/>
            <w:tcMar>
              <w:top w:w="0" w:type="dxa"/>
              <w:bottom w:w="0" w:type="dxa"/>
            </w:tcMar>
            <w:vAlign w:val="center"/>
          </w:tcPr>
          <w:p w14:paraId="39E4FAAB"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252,420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20713A0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315,232</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2CCECF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124.88</w:t>
            </w:r>
          </w:p>
        </w:tc>
      </w:tr>
      <w:tr w:rsidR="008219AB" w14:paraId="1ACED914" w14:textId="77777777">
        <w:trPr>
          <w:trHeight w:val="749"/>
        </w:trPr>
        <w:tc>
          <w:tcPr>
            <w:tcW w:w="670" w:type="dxa"/>
            <w:tcBorders>
              <w:top w:val="single" w:sz="4" w:space="0" w:color="000000"/>
              <w:left w:val="single" w:sz="4" w:space="0" w:color="000000"/>
            </w:tcBorders>
            <w:shd w:val="clear" w:color="auto" w:fill="FFFFFF"/>
            <w:tcMar>
              <w:top w:w="0" w:type="dxa"/>
              <w:bottom w:w="0" w:type="dxa"/>
            </w:tcMar>
            <w:vAlign w:val="center"/>
          </w:tcPr>
          <w:p w14:paraId="0B3F06F2"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2893" w:type="dxa"/>
            <w:tcBorders>
              <w:top w:val="single" w:sz="4" w:space="0" w:color="000000"/>
              <w:left w:val="single" w:sz="4" w:space="0" w:color="000000"/>
            </w:tcBorders>
            <w:shd w:val="clear" w:color="auto" w:fill="FFFFFF"/>
            <w:tcMar>
              <w:top w:w="0" w:type="dxa"/>
              <w:bottom w:w="0" w:type="dxa"/>
            </w:tcMar>
            <w:vAlign w:val="center"/>
          </w:tcPr>
          <w:p w14:paraId="0BFA3B6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Net revenue</w:t>
            </w:r>
          </w:p>
        </w:tc>
        <w:tc>
          <w:tcPr>
            <w:tcW w:w="1117" w:type="dxa"/>
            <w:tcBorders>
              <w:top w:val="single" w:sz="4" w:space="0" w:color="000000"/>
              <w:left w:val="single" w:sz="4" w:space="0" w:color="000000"/>
            </w:tcBorders>
            <w:shd w:val="clear" w:color="auto" w:fill="FFFFFF"/>
            <w:tcMar>
              <w:top w:w="0" w:type="dxa"/>
              <w:bottom w:w="0" w:type="dxa"/>
            </w:tcMar>
            <w:vAlign w:val="center"/>
          </w:tcPr>
          <w:p w14:paraId="19C658FB"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tcBorders>
            <w:shd w:val="clear" w:color="auto" w:fill="FFFFFF"/>
            <w:tcMar>
              <w:top w:w="0" w:type="dxa"/>
              <w:bottom w:w="0" w:type="dxa"/>
            </w:tcMar>
            <w:vAlign w:val="center"/>
          </w:tcPr>
          <w:p w14:paraId="6950583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210,200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4A56322B"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290,599</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67CF67D2"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138.25</w:t>
            </w:r>
          </w:p>
        </w:tc>
      </w:tr>
      <w:tr w:rsidR="008219AB" w14:paraId="13E624B6" w14:textId="77777777">
        <w:trPr>
          <w:trHeight w:val="744"/>
        </w:trPr>
        <w:tc>
          <w:tcPr>
            <w:tcW w:w="670" w:type="dxa"/>
            <w:tcBorders>
              <w:top w:val="single" w:sz="4" w:space="0" w:color="000000"/>
              <w:left w:val="single" w:sz="4" w:space="0" w:color="000000"/>
            </w:tcBorders>
            <w:shd w:val="clear" w:color="auto" w:fill="FFFFFF"/>
            <w:tcMar>
              <w:top w:w="0" w:type="dxa"/>
              <w:bottom w:w="0" w:type="dxa"/>
            </w:tcMar>
            <w:vAlign w:val="center"/>
          </w:tcPr>
          <w:p w14:paraId="0C6A9C6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2893" w:type="dxa"/>
            <w:tcBorders>
              <w:top w:val="single" w:sz="4" w:space="0" w:color="000000"/>
              <w:left w:val="single" w:sz="4" w:space="0" w:color="000000"/>
            </w:tcBorders>
            <w:shd w:val="clear" w:color="auto" w:fill="FFFFFF"/>
            <w:tcMar>
              <w:top w:w="0" w:type="dxa"/>
              <w:bottom w:w="0" w:type="dxa"/>
            </w:tcMar>
            <w:vAlign w:val="center"/>
          </w:tcPr>
          <w:p w14:paraId="70FFB200"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117" w:type="dxa"/>
            <w:tcBorders>
              <w:top w:val="single" w:sz="4" w:space="0" w:color="000000"/>
              <w:left w:val="single" w:sz="4" w:space="0" w:color="000000"/>
            </w:tcBorders>
            <w:shd w:val="clear" w:color="auto" w:fill="FFFFFF"/>
            <w:tcMar>
              <w:top w:w="0" w:type="dxa"/>
              <w:bottom w:w="0" w:type="dxa"/>
            </w:tcMar>
            <w:vAlign w:val="center"/>
          </w:tcPr>
          <w:p w14:paraId="1C5C90E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tcBorders>
            <w:shd w:val="clear" w:color="auto" w:fill="FFFFFF"/>
            <w:tcMar>
              <w:top w:w="0" w:type="dxa"/>
              <w:bottom w:w="0" w:type="dxa"/>
            </w:tcMar>
            <w:vAlign w:val="center"/>
          </w:tcPr>
          <w:p w14:paraId="262ECA5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6C15A48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2,111</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555B3F9"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70.37</w:t>
            </w:r>
          </w:p>
        </w:tc>
      </w:tr>
      <w:tr w:rsidR="008219AB" w14:paraId="1B6008EE" w14:textId="77777777">
        <w:trPr>
          <w:trHeight w:val="749"/>
        </w:trPr>
        <w:tc>
          <w:tcPr>
            <w:tcW w:w="670" w:type="dxa"/>
            <w:tcBorders>
              <w:top w:val="single" w:sz="4" w:space="0" w:color="000000"/>
              <w:left w:val="single" w:sz="4" w:space="0" w:color="000000"/>
            </w:tcBorders>
            <w:shd w:val="clear" w:color="auto" w:fill="FFFFFF"/>
            <w:tcMar>
              <w:top w:w="0" w:type="dxa"/>
              <w:bottom w:w="0" w:type="dxa"/>
            </w:tcMar>
            <w:vAlign w:val="center"/>
          </w:tcPr>
          <w:p w14:paraId="7F1B180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2893" w:type="dxa"/>
            <w:tcBorders>
              <w:top w:val="single" w:sz="4" w:space="0" w:color="000000"/>
              <w:left w:val="single" w:sz="4" w:space="0" w:color="000000"/>
            </w:tcBorders>
            <w:shd w:val="clear" w:color="auto" w:fill="FFFFFF"/>
            <w:tcMar>
              <w:top w:w="0" w:type="dxa"/>
              <w:bottom w:w="0" w:type="dxa"/>
            </w:tcMar>
          </w:tcPr>
          <w:p w14:paraId="4D74DFE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payables to the State budget</w:t>
            </w:r>
          </w:p>
        </w:tc>
        <w:tc>
          <w:tcPr>
            <w:tcW w:w="1117" w:type="dxa"/>
            <w:tcBorders>
              <w:top w:val="single" w:sz="4" w:space="0" w:color="000000"/>
              <w:left w:val="single" w:sz="4" w:space="0" w:color="000000"/>
            </w:tcBorders>
            <w:shd w:val="clear" w:color="auto" w:fill="FFFFFF"/>
            <w:tcMar>
              <w:top w:w="0" w:type="dxa"/>
              <w:bottom w:w="0" w:type="dxa"/>
            </w:tcMar>
            <w:vAlign w:val="center"/>
          </w:tcPr>
          <w:p w14:paraId="17BEF019"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tcBorders>
            <w:shd w:val="clear" w:color="auto" w:fill="FFFFFF"/>
            <w:tcMar>
              <w:top w:w="0" w:type="dxa"/>
              <w:bottom w:w="0" w:type="dxa"/>
            </w:tcMar>
            <w:vAlign w:val="center"/>
          </w:tcPr>
          <w:p w14:paraId="130DABA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16,800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0E7DE9F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26,031</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0F85CEE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154.95</w:t>
            </w:r>
          </w:p>
        </w:tc>
      </w:tr>
      <w:tr w:rsidR="008219AB" w14:paraId="63B5C63B" w14:textId="77777777">
        <w:trPr>
          <w:trHeight w:val="907"/>
        </w:trPr>
        <w:tc>
          <w:tcPr>
            <w:tcW w:w="670" w:type="dxa"/>
            <w:tcBorders>
              <w:top w:val="single" w:sz="4" w:space="0" w:color="000000"/>
              <w:left w:val="single" w:sz="4" w:space="0" w:color="000000"/>
            </w:tcBorders>
            <w:shd w:val="clear" w:color="auto" w:fill="FFFFFF"/>
            <w:tcMar>
              <w:top w:w="0" w:type="dxa"/>
              <w:bottom w:w="0" w:type="dxa"/>
            </w:tcMar>
            <w:vAlign w:val="center"/>
          </w:tcPr>
          <w:p w14:paraId="4E435A18"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2893" w:type="dxa"/>
            <w:tcBorders>
              <w:top w:val="single" w:sz="4" w:space="0" w:color="000000"/>
              <w:left w:val="single" w:sz="4" w:space="0" w:color="000000"/>
            </w:tcBorders>
            <w:shd w:val="clear" w:color="auto" w:fill="FFFFFF"/>
            <w:tcMar>
              <w:top w:w="0" w:type="dxa"/>
              <w:bottom w:w="0" w:type="dxa"/>
            </w:tcMar>
          </w:tcPr>
          <w:p w14:paraId="08E4171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salary fund (excluding lump sum contracts and outsourcing)</w:t>
            </w:r>
          </w:p>
        </w:tc>
        <w:tc>
          <w:tcPr>
            <w:tcW w:w="1117" w:type="dxa"/>
            <w:tcBorders>
              <w:top w:val="single" w:sz="4" w:space="0" w:color="000000"/>
              <w:left w:val="single" w:sz="4" w:space="0" w:color="000000"/>
            </w:tcBorders>
            <w:shd w:val="clear" w:color="auto" w:fill="FFFFFF"/>
            <w:tcMar>
              <w:top w:w="0" w:type="dxa"/>
              <w:bottom w:w="0" w:type="dxa"/>
            </w:tcMar>
            <w:vAlign w:val="center"/>
          </w:tcPr>
          <w:p w14:paraId="3155EAE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tcBorders>
            <w:shd w:val="clear" w:color="auto" w:fill="FFFFFF"/>
            <w:tcMar>
              <w:top w:w="0" w:type="dxa"/>
              <w:bottom w:w="0" w:type="dxa"/>
            </w:tcMar>
            <w:vAlign w:val="center"/>
          </w:tcPr>
          <w:p w14:paraId="48215FD5"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13,200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436645E5"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22,101</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4594420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167.43</w:t>
            </w:r>
          </w:p>
        </w:tc>
      </w:tr>
      <w:tr w:rsidR="008219AB" w14:paraId="36BB1548" w14:textId="77777777">
        <w:trPr>
          <w:trHeight w:val="907"/>
        </w:trPr>
        <w:tc>
          <w:tcPr>
            <w:tcW w:w="670" w:type="dxa"/>
            <w:tcBorders>
              <w:top w:val="single" w:sz="4" w:space="0" w:color="000000"/>
              <w:left w:val="single" w:sz="4" w:space="0" w:color="000000"/>
            </w:tcBorders>
            <w:shd w:val="clear" w:color="auto" w:fill="FFFFFF"/>
            <w:tcMar>
              <w:top w:w="0" w:type="dxa"/>
              <w:bottom w:w="0" w:type="dxa"/>
            </w:tcMar>
          </w:tcPr>
          <w:p w14:paraId="4F82AE68" w14:textId="77777777" w:rsidR="008219AB" w:rsidRDefault="008219AB">
            <w:pPr>
              <w:tabs>
                <w:tab w:val="left" w:pos="432"/>
              </w:tabs>
              <w:spacing w:after="120" w:line="360" w:lineRule="auto"/>
              <w:rPr>
                <w:rFonts w:ascii="Arial" w:eastAsia="Arial" w:hAnsi="Arial" w:cs="Arial"/>
                <w:sz w:val="20"/>
                <w:szCs w:val="20"/>
              </w:rPr>
            </w:pPr>
          </w:p>
        </w:tc>
        <w:tc>
          <w:tcPr>
            <w:tcW w:w="2893" w:type="dxa"/>
            <w:tcBorders>
              <w:top w:val="single" w:sz="4" w:space="0" w:color="000000"/>
              <w:left w:val="single" w:sz="4" w:space="0" w:color="000000"/>
            </w:tcBorders>
            <w:shd w:val="clear" w:color="auto" w:fill="FFFFFF"/>
            <w:tcMar>
              <w:top w:w="0" w:type="dxa"/>
              <w:bottom w:w="0" w:type="dxa"/>
            </w:tcMar>
            <w:vAlign w:val="bottom"/>
          </w:tcPr>
          <w:p w14:paraId="6369B7F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Salary rate = total salary fund/revenue from construction and installation</w:t>
            </w:r>
          </w:p>
        </w:tc>
        <w:tc>
          <w:tcPr>
            <w:tcW w:w="1117" w:type="dxa"/>
            <w:tcBorders>
              <w:top w:val="single" w:sz="4" w:space="0" w:color="000000"/>
              <w:left w:val="single" w:sz="4" w:space="0" w:color="000000"/>
            </w:tcBorders>
            <w:shd w:val="clear" w:color="auto" w:fill="FFFFFF"/>
            <w:tcMar>
              <w:top w:w="0" w:type="dxa"/>
              <w:bottom w:w="0" w:type="dxa"/>
            </w:tcMar>
            <w:vAlign w:val="center"/>
          </w:tcPr>
          <w:p w14:paraId="69C3D6B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411" w:type="dxa"/>
            <w:tcBorders>
              <w:top w:val="single" w:sz="4" w:space="0" w:color="000000"/>
              <w:left w:val="single" w:sz="4" w:space="0" w:color="000000"/>
            </w:tcBorders>
            <w:shd w:val="clear" w:color="auto" w:fill="FFFFFF"/>
            <w:tcMar>
              <w:top w:w="0" w:type="dxa"/>
              <w:bottom w:w="0" w:type="dxa"/>
            </w:tcMar>
            <w:vAlign w:val="center"/>
          </w:tcPr>
          <w:p w14:paraId="191250E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10.00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6EB7716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14.00</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tcPr>
          <w:p w14:paraId="0E859BE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138.79</w:t>
            </w:r>
          </w:p>
        </w:tc>
      </w:tr>
      <w:tr w:rsidR="008219AB" w14:paraId="35C44C59" w14:textId="77777777">
        <w:trPr>
          <w:trHeight w:val="749"/>
        </w:trPr>
        <w:tc>
          <w:tcPr>
            <w:tcW w:w="670" w:type="dxa"/>
            <w:tcBorders>
              <w:top w:val="single" w:sz="4" w:space="0" w:color="000000"/>
              <w:left w:val="single" w:sz="4" w:space="0" w:color="000000"/>
            </w:tcBorders>
            <w:shd w:val="clear" w:color="auto" w:fill="FFFFFF"/>
            <w:tcMar>
              <w:top w:w="0" w:type="dxa"/>
              <w:bottom w:w="0" w:type="dxa"/>
            </w:tcMar>
            <w:vAlign w:val="center"/>
          </w:tcPr>
          <w:p w14:paraId="422C4A9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2893" w:type="dxa"/>
            <w:tcBorders>
              <w:top w:val="single" w:sz="4" w:space="0" w:color="000000"/>
              <w:left w:val="single" w:sz="4" w:space="0" w:color="000000"/>
            </w:tcBorders>
            <w:shd w:val="clear" w:color="auto" w:fill="FFFFFF"/>
            <w:tcMar>
              <w:top w:w="0" w:type="dxa"/>
              <w:bottom w:w="0" w:type="dxa"/>
            </w:tcMar>
            <w:vAlign w:val="center"/>
          </w:tcPr>
          <w:p w14:paraId="3837529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payment</w:t>
            </w:r>
          </w:p>
        </w:tc>
        <w:tc>
          <w:tcPr>
            <w:tcW w:w="1117" w:type="dxa"/>
            <w:tcBorders>
              <w:top w:val="single" w:sz="4" w:space="0" w:color="000000"/>
              <w:left w:val="single" w:sz="4" w:space="0" w:color="000000"/>
            </w:tcBorders>
            <w:shd w:val="clear" w:color="auto" w:fill="FFFFFF"/>
            <w:tcMar>
              <w:top w:w="0" w:type="dxa"/>
              <w:bottom w:w="0" w:type="dxa"/>
            </w:tcMar>
            <w:vAlign w:val="center"/>
          </w:tcPr>
          <w:p w14:paraId="3D6901E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%/year</w:t>
            </w:r>
          </w:p>
        </w:tc>
        <w:tc>
          <w:tcPr>
            <w:tcW w:w="1411" w:type="dxa"/>
            <w:tcBorders>
              <w:top w:val="single" w:sz="4" w:space="0" w:color="000000"/>
              <w:left w:val="single" w:sz="4" w:space="0" w:color="000000"/>
            </w:tcBorders>
            <w:shd w:val="clear" w:color="auto" w:fill="FFFFFF"/>
            <w:tcMar>
              <w:top w:w="0" w:type="dxa"/>
              <w:bottom w:w="0" w:type="dxa"/>
            </w:tcMar>
            <w:vAlign w:val="center"/>
          </w:tcPr>
          <w:p w14:paraId="007A4BCB"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5.00</w:t>
            </w:r>
          </w:p>
        </w:tc>
        <w:tc>
          <w:tcPr>
            <w:tcW w:w="1456" w:type="dxa"/>
            <w:tcBorders>
              <w:top w:val="single" w:sz="4" w:space="0" w:color="000000"/>
              <w:left w:val="single" w:sz="4" w:space="0" w:color="000000"/>
            </w:tcBorders>
            <w:shd w:val="clear" w:color="auto" w:fill="FFFFFF"/>
            <w:tcMar>
              <w:top w:w="0" w:type="dxa"/>
              <w:bottom w:w="0" w:type="dxa"/>
            </w:tcMar>
            <w:vAlign w:val="center"/>
          </w:tcPr>
          <w:p w14:paraId="6EBA548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1.46</w:t>
            </w:r>
          </w:p>
        </w:tc>
        <w:tc>
          <w:tcPr>
            <w:tcW w:w="1472"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7D4AB30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29.20</w:t>
            </w:r>
          </w:p>
        </w:tc>
      </w:tr>
      <w:tr w:rsidR="008219AB" w14:paraId="2B13986B" w14:textId="77777777">
        <w:trPr>
          <w:trHeight w:val="782"/>
        </w:trPr>
        <w:tc>
          <w:tcPr>
            <w:tcW w:w="67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6B1BC9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lastRenderedPageBreak/>
              <w:t>7</w:t>
            </w:r>
          </w:p>
        </w:tc>
        <w:tc>
          <w:tcPr>
            <w:tcW w:w="289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2B9CA08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investment</w:t>
            </w:r>
          </w:p>
        </w:tc>
        <w:tc>
          <w:tcPr>
            <w:tcW w:w="111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2C84E2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411"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96B6E49"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16,000</w:t>
            </w:r>
          </w:p>
        </w:tc>
        <w:tc>
          <w:tcPr>
            <w:tcW w:w="145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3972B5D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6,879</w:t>
            </w:r>
          </w:p>
        </w:tc>
        <w:tc>
          <w:tcPr>
            <w:tcW w:w="147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0B7ED3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42.99</w:t>
            </w:r>
          </w:p>
        </w:tc>
      </w:tr>
    </w:tbl>
    <w:p w14:paraId="29CB0103" w14:textId="77777777" w:rsidR="008219AB" w:rsidRDefault="00A32A77">
      <w:pPr>
        <w:numPr>
          <w:ilvl w:val="0"/>
          <w:numId w:val="1"/>
        </w:num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on production and business and fixed assets investment for 2024</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
        <w:gridCol w:w="3516"/>
        <w:gridCol w:w="1761"/>
        <w:gridCol w:w="1551"/>
        <w:gridCol w:w="1562"/>
      </w:tblGrid>
      <w:tr w:rsidR="008219AB" w14:paraId="2A378D75" w14:textId="77777777">
        <w:trPr>
          <w:trHeight w:val="888"/>
        </w:trPr>
        <w:tc>
          <w:tcPr>
            <w:tcW w:w="629" w:type="dxa"/>
            <w:shd w:val="clear" w:color="auto" w:fill="FFFFFF"/>
            <w:tcMar>
              <w:top w:w="0" w:type="dxa"/>
              <w:bottom w:w="0" w:type="dxa"/>
            </w:tcMar>
            <w:vAlign w:val="center"/>
          </w:tcPr>
          <w:p w14:paraId="6BF2A1A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3516" w:type="dxa"/>
            <w:shd w:val="clear" w:color="auto" w:fill="FFFFFF"/>
            <w:tcMar>
              <w:top w:w="0" w:type="dxa"/>
              <w:bottom w:w="0" w:type="dxa"/>
            </w:tcMar>
            <w:vAlign w:val="center"/>
          </w:tcPr>
          <w:p w14:paraId="56303F6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Explanation</w:t>
            </w:r>
          </w:p>
        </w:tc>
        <w:tc>
          <w:tcPr>
            <w:tcW w:w="1761" w:type="dxa"/>
            <w:shd w:val="clear" w:color="auto" w:fill="FFFFFF"/>
            <w:tcMar>
              <w:top w:w="0" w:type="dxa"/>
              <w:bottom w:w="0" w:type="dxa"/>
            </w:tcMar>
            <w:vAlign w:val="center"/>
          </w:tcPr>
          <w:p w14:paraId="13FDF9D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Unit</w:t>
            </w:r>
          </w:p>
        </w:tc>
        <w:tc>
          <w:tcPr>
            <w:tcW w:w="1551" w:type="dxa"/>
            <w:shd w:val="clear" w:color="auto" w:fill="FFFFFF"/>
            <w:tcMar>
              <w:top w:w="0" w:type="dxa"/>
              <w:bottom w:w="0" w:type="dxa"/>
            </w:tcMar>
            <w:vAlign w:val="center"/>
          </w:tcPr>
          <w:p w14:paraId="43460AAD" w14:textId="43BBA8BA"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Results 2023</w:t>
            </w:r>
          </w:p>
        </w:tc>
        <w:tc>
          <w:tcPr>
            <w:tcW w:w="1562" w:type="dxa"/>
            <w:shd w:val="clear" w:color="auto" w:fill="FFFFFF"/>
            <w:tcMar>
              <w:top w:w="0" w:type="dxa"/>
              <w:bottom w:w="0" w:type="dxa"/>
            </w:tcMar>
            <w:vAlign w:val="center"/>
          </w:tcPr>
          <w:p w14:paraId="34187B1B" w14:textId="28377A65"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Plan 2024</w:t>
            </w:r>
          </w:p>
        </w:tc>
      </w:tr>
      <w:tr w:rsidR="008219AB" w14:paraId="4E7D5DC7" w14:textId="77777777">
        <w:trPr>
          <w:trHeight w:val="422"/>
        </w:trPr>
        <w:tc>
          <w:tcPr>
            <w:tcW w:w="629" w:type="dxa"/>
            <w:shd w:val="clear" w:color="auto" w:fill="FFFFFF"/>
            <w:tcMar>
              <w:top w:w="0" w:type="dxa"/>
              <w:bottom w:w="0" w:type="dxa"/>
            </w:tcMar>
            <w:vAlign w:val="bottom"/>
          </w:tcPr>
          <w:p w14:paraId="303A8265"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w:t>
            </w:r>
          </w:p>
        </w:tc>
        <w:tc>
          <w:tcPr>
            <w:tcW w:w="3516" w:type="dxa"/>
            <w:shd w:val="clear" w:color="auto" w:fill="FFFFFF"/>
            <w:tcMar>
              <w:top w:w="0" w:type="dxa"/>
              <w:bottom w:w="0" w:type="dxa"/>
            </w:tcMar>
            <w:vAlign w:val="bottom"/>
          </w:tcPr>
          <w:p w14:paraId="4FA91BB5"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Production value</w:t>
            </w:r>
          </w:p>
        </w:tc>
        <w:tc>
          <w:tcPr>
            <w:tcW w:w="1761" w:type="dxa"/>
            <w:shd w:val="clear" w:color="auto" w:fill="FFFFFF"/>
            <w:tcMar>
              <w:top w:w="0" w:type="dxa"/>
              <w:bottom w:w="0" w:type="dxa"/>
            </w:tcMar>
            <w:vAlign w:val="bottom"/>
          </w:tcPr>
          <w:p w14:paraId="2598BF6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bottom"/>
          </w:tcPr>
          <w:p w14:paraId="6FF2B0C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315,232</w:t>
            </w:r>
          </w:p>
        </w:tc>
        <w:tc>
          <w:tcPr>
            <w:tcW w:w="1562" w:type="dxa"/>
            <w:shd w:val="clear" w:color="auto" w:fill="FFFFFF"/>
            <w:tcMar>
              <w:top w:w="0" w:type="dxa"/>
              <w:bottom w:w="0" w:type="dxa"/>
            </w:tcMar>
            <w:vAlign w:val="bottom"/>
          </w:tcPr>
          <w:p w14:paraId="4C7563A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508,067</w:t>
            </w:r>
          </w:p>
        </w:tc>
      </w:tr>
      <w:tr w:rsidR="008219AB" w14:paraId="64E8C8BA" w14:textId="77777777">
        <w:trPr>
          <w:trHeight w:val="418"/>
        </w:trPr>
        <w:tc>
          <w:tcPr>
            <w:tcW w:w="629" w:type="dxa"/>
            <w:shd w:val="clear" w:color="auto" w:fill="FFFFFF"/>
            <w:tcMar>
              <w:top w:w="0" w:type="dxa"/>
              <w:bottom w:w="0" w:type="dxa"/>
            </w:tcMar>
            <w:vAlign w:val="bottom"/>
          </w:tcPr>
          <w:p w14:paraId="3A83802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w:t>
            </w:r>
          </w:p>
        </w:tc>
        <w:tc>
          <w:tcPr>
            <w:tcW w:w="3516" w:type="dxa"/>
            <w:shd w:val="clear" w:color="auto" w:fill="FFFFFF"/>
            <w:tcMar>
              <w:top w:w="0" w:type="dxa"/>
              <w:bottom w:w="0" w:type="dxa"/>
            </w:tcMar>
            <w:vAlign w:val="bottom"/>
          </w:tcPr>
          <w:p w14:paraId="61D7F80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Net revenue</w:t>
            </w:r>
          </w:p>
        </w:tc>
        <w:tc>
          <w:tcPr>
            <w:tcW w:w="1761" w:type="dxa"/>
            <w:shd w:val="clear" w:color="auto" w:fill="FFFFFF"/>
            <w:tcMar>
              <w:top w:w="0" w:type="dxa"/>
              <w:bottom w:w="0" w:type="dxa"/>
            </w:tcMar>
            <w:vAlign w:val="bottom"/>
          </w:tcPr>
          <w:p w14:paraId="35526C7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bottom"/>
          </w:tcPr>
          <w:p w14:paraId="36192312"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290,599</w:t>
            </w:r>
          </w:p>
        </w:tc>
        <w:tc>
          <w:tcPr>
            <w:tcW w:w="1562" w:type="dxa"/>
            <w:shd w:val="clear" w:color="auto" w:fill="FFFFFF"/>
            <w:tcMar>
              <w:top w:w="0" w:type="dxa"/>
              <w:bottom w:w="0" w:type="dxa"/>
            </w:tcMar>
            <w:vAlign w:val="bottom"/>
          </w:tcPr>
          <w:p w14:paraId="7D6348B2"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484,171</w:t>
            </w:r>
          </w:p>
        </w:tc>
      </w:tr>
      <w:tr w:rsidR="008219AB" w14:paraId="181EDBD0" w14:textId="77777777">
        <w:trPr>
          <w:trHeight w:val="427"/>
        </w:trPr>
        <w:tc>
          <w:tcPr>
            <w:tcW w:w="629" w:type="dxa"/>
            <w:shd w:val="clear" w:color="auto" w:fill="FFFFFF"/>
            <w:tcMar>
              <w:top w:w="0" w:type="dxa"/>
              <w:bottom w:w="0" w:type="dxa"/>
            </w:tcMar>
            <w:vAlign w:val="bottom"/>
          </w:tcPr>
          <w:p w14:paraId="51696F58"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w:t>
            </w:r>
          </w:p>
        </w:tc>
        <w:tc>
          <w:tcPr>
            <w:tcW w:w="3516" w:type="dxa"/>
            <w:shd w:val="clear" w:color="auto" w:fill="FFFFFF"/>
            <w:tcMar>
              <w:top w:w="0" w:type="dxa"/>
              <w:bottom w:w="0" w:type="dxa"/>
            </w:tcMar>
            <w:vAlign w:val="bottom"/>
          </w:tcPr>
          <w:p w14:paraId="54E172C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Profit before tax</w:t>
            </w:r>
          </w:p>
        </w:tc>
        <w:tc>
          <w:tcPr>
            <w:tcW w:w="1761" w:type="dxa"/>
            <w:shd w:val="clear" w:color="auto" w:fill="FFFFFF"/>
            <w:tcMar>
              <w:top w:w="0" w:type="dxa"/>
              <w:bottom w:w="0" w:type="dxa"/>
            </w:tcMar>
            <w:vAlign w:val="bottom"/>
          </w:tcPr>
          <w:p w14:paraId="67FC7CF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bottom"/>
          </w:tcPr>
          <w:p w14:paraId="5C53705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2,111</w:t>
            </w:r>
          </w:p>
        </w:tc>
        <w:tc>
          <w:tcPr>
            <w:tcW w:w="1562" w:type="dxa"/>
            <w:shd w:val="clear" w:color="auto" w:fill="FFFFFF"/>
            <w:tcMar>
              <w:top w:w="0" w:type="dxa"/>
              <w:bottom w:w="0" w:type="dxa"/>
            </w:tcMar>
            <w:vAlign w:val="bottom"/>
          </w:tcPr>
          <w:p w14:paraId="080A8F0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2,500</w:t>
            </w:r>
          </w:p>
        </w:tc>
      </w:tr>
      <w:tr w:rsidR="008219AB" w14:paraId="107057F2" w14:textId="77777777">
        <w:trPr>
          <w:trHeight w:val="422"/>
        </w:trPr>
        <w:tc>
          <w:tcPr>
            <w:tcW w:w="629" w:type="dxa"/>
            <w:shd w:val="clear" w:color="auto" w:fill="FFFFFF"/>
            <w:tcMar>
              <w:top w:w="0" w:type="dxa"/>
              <w:bottom w:w="0" w:type="dxa"/>
            </w:tcMar>
            <w:vAlign w:val="bottom"/>
          </w:tcPr>
          <w:p w14:paraId="72E3783A"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w:t>
            </w:r>
          </w:p>
        </w:tc>
        <w:tc>
          <w:tcPr>
            <w:tcW w:w="3516" w:type="dxa"/>
            <w:shd w:val="clear" w:color="auto" w:fill="FFFFFF"/>
            <w:tcMar>
              <w:top w:w="0" w:type="dxa"/>
              <w:bottom w:w="0" w:type="dxa"/>
            </w:tcMar>
          </w:tcPr>
          <w:p w14:paraId="1B8835B8"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payables to the State budget</w:t>
            </w:r>
          </w:p>
        </w:tc>
        <w:tc>
          <w:tcPr>
            <w:tcW w:w="1761" w:type="dxa"/>
            <w:shd w:val="clear" w:color="auto" w:fill="FFFFFF"/>
            <w:tcMar>
              <w:top w:w="0" w:type="dxa"/>
              <w:bottom w:w="0" w:type="dxa"/>
            </w:tcMar>
            <w:vAlign w:val="bottom"/>
          </w:tcPr>
          <w:p w14:paraId="5381960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bottom"/>
          </w:tcPr>
          <w:p w14:paraId="2D648D1D"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26.031</w:t>
            </w:r>
          </w:p>
        </w:tc>
        <w:tc>
          <w:tcPr>
            <w:tcW w:w="1562" w:type="dxa"/>
            <w:shd w:val="clear" w:color="auto" w:fill="FFFFFF"/>
            <w:tcMar>
              <w:top w:w="0" w:type="dxa"/>
              <w:bottom w:w="0" w:type="dxa"/>
            </w:tcMar>
            <w:vAlign w:val="bottom"/>
          </w:tcPr>
          <w:p w14:paraId="058668D5"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32,500</w:t>
            </w:r>
          </w:p>
        </w:tc>
      </w:tr>
      <w:tr w:rsidR="008219AB" w14:paraId="6104A4F8" w14:textId="77777777">
        <w:trPr>
          <w:trHeight w:val="725"/>
        </w:trPr>
        <w:tc>
          <w:tcPr>
            <w:tcW w:w="629" w:type="dxa"/>
            <w:shd w:val="clear" w:color="auto" w:fill="FFFFFF"/>
            <w:tcMar>
              <w:top w:w="0" w:type="dxa"/>
              <w:bottom w:w="0" w:type="dxa"/>
            </w:tcMar>
          </w:tcPr>
          <w:p w14:paraId="40EAAAF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w:t>
            </w:r>
          </w:p>
        </w:tc>
        <w:tc>
          <w:tcPr>
            <w:tcW w:w="3516" w:type="dxa"/>
            <w:shd w:val="clear" w:color="auto" w:fill="FFFFFF"/>
            <w:tcMar>
              <w:top w:w="0" w:type="dxa"/>
              <w:bottom w:w="0" w:type="dxa"/>
            </w:tcMar>
            <w:vAlign w:val="bottom"/>
          </w:tcPr>
          <w:p w14:paraId="05ADAD9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salary fund (excluding lump sum contracts and outsourcing)</w:t>
            </w:r>
          </w:p>
        </w:tc>
        <w:tc>
          <w:tcPr>
            <w:tcW w:w="1761" w:type="dxa"/>
            <w:shd w:val="clear" w:color="auto" w:fill="FFFFFF"/>
            <w:tcMar>
              <w:top w:w="0" w:type="dxa"/>
              <w:bottom w:w="0" w:type="dxa"/>
            </w:tcMar>
          </w:tcPr>
          <w:p w14:paraId="72E8FD8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center"/>
          </w:tcPr>
          <w:p w14:paraId="6F52FA0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22,101</w:t>
            </w:r>
          </w:p>
        </w:tc>
        <w:tc>
          <w:tcPr>
            <w:tcW w:w="1562" w:type="dxa"/>
            <w:shd w:val="clear" w:color="auto" w:fill="FFFFFF"/>
            <w:tcMar>
              <w:top w:w="0" w:type="dxa"/>
              <w:bottom w:w="0" w:type="dxa"/>
            </w:tcMar>
            <w:vAlign w:val="center"/>
          </w:tcPr>
          <w:p w14:paraId="5D4FFF5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28,100</w:t>
            </w:r>
          </w:p>
        </w:tc>
      </w:tr>
      <w:tr w:rsidR="008219AB" w14:paraId="3998182C" w14:textId="77777777">
        <w:trPr>
          <w:trHeight w:val="720"/>
        </w:trPr>
        <w:tc>
          <w:tcPr>
            <w:tcW w:w="629" w:type="dxa"/>
            <w:shd w:val="clear" w:color="auto" w:fill="FFFFFF"/>
            <w:tcMar>
              <w:top w:w="0" w:type="dxa"/>
              <w:bottom w:w="0" w:type="dxa"/>
            </w:tcMar>
          </w:tcPr>
          <w:p w14:paraId="0A39A68C" w14:textId="77777777" w:rsidR="008219AB" w:rsidRDefault="008219AB">
            <w:pPr>
              <w:tabs>
                <w:tab w:val="left" w:pos="432"/>
              </w:tabs>
              <w:spacing w:after="120" w:line="360" w:lineRule="auto"/>
              <w:rPr>
                <w:rFonts w:ascii="Arial" w:eastAsia="Arial" w:hAnsi="Arial" w:cs="Arial"/>
                <w:sz w:val="20"/>
                <w:szCs w:val="20"/>
              </w:rPr>
            </w:pPr>
          </w:p>
        </w:tc>
        <w:tc>
          <w:tcPr>
            <w:tcW w:w="3516" w:type="dxa"/>
            <w:shd w:val="clear" w:color="auto" w:fill="FFFFFF"/>
            <w:tcMar>
              <w:top w:w="0" w:type="dxa"/>
              <w:bottom w:w="0" w:type="dxa"/>
            </w:tcMar>
            <w:vAlign w:val="bottom"/>
          </w:tcPr>
          <w:p w14:paraId="60B7044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Salary rate = total salary fund/ revenue from construction and installation</w:t>
            </w:r>
          </w:p>
        </w:tc>
        <w:tc>
          <w:tcPr>
            <w:tcW w:w="1761" w:type="dxa"/>
            <w:shd w:val="clear" w:color="auto" w:fill="FFFFFF"/>
            <w:tcMar>
              <w:top w:w="0" w:type="dxa"/>
              <w:bottom w:w="0" w:type="dxa"/>
            </w:tcMar>
            <w:vAlign w:val="center"/>
          </w:tcPr>
          <w:p w14:paraId="682BF33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w:t>
            </w:r>
          </w:p>
        </w:tc>
        <w:tc>
          <w:tcPr>
            <w:tcW w:w="1551" w:type="dxa"/>
            <w:shd w:val="clear" w:color="auto" w:fill="FFFFFF"/>
            <w:tcMar>
              <w:top w:w="0" w:type="dxa"/>
              <w:bottom w:w="0" w:type="dxa"/>
            </w:tcMar>
            <w:vAlign w:val="center"/>
          </w:tcPr>
          <w:p w14:paraId="791E02C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14.00</w:t>
            </w:r>
          </w:p>
        </w:tc>
        <w:tc>
          <w:tcPr>
            <w:tcW w:w="1562" w:type="dxa"/>
            <w:shd w:val="clear" w:color="auto" w:fill="FFFFFF"/>
            <w:tcMar>
              <w:top w:w="0" w:type="dxa"/>
              <w:bottom w:w="0" w:type="dxa"/>
            </w:tcMar>
            <w:vAlign w:val="center"/>
          </w:tcPr>
          <w:p w14:paraId="0F5E8EC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14.00</w:t>
            </w:r>
          </w:p>
        </w:tc>
      </w:tr>
      <w:tr w:rsidR="008219AB" w14:paraId="37B2C738" w14:textId="77777777">
        <w:trPr>
          <w:trHeight w:val="432"/>
        </w:trPr>
        <w:tc>
          <w:tcPr>
            <w:tcW w:w="629" w:type="dxa"/>
            <w:shd w:val="clear" w:color="auto" w:fill="FFFFFF"/>
            <w:tcMar>
              <w:top w:w="0" w:type="dxa"/>
              <w:bottom w:w="0" w:type="dxa"/>
            </w:tcMar>
            <w:vAlign w:val="bottom"/>
          </w:tcPr>
          <w:p w14:paraId="1AE42C7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w:t>
            </w:r>
          </w:p>
        </w:tc>
        <w:tc>
          <w:tcPr>
            <w:tcW w:w="3516" w:type="dxa"/>
            <w:shd w:val="clear" w:color="auto" w:fill="FFFFFF"/>
            <w:tcMar>
              <w:top w:w="0" w:type="dxa"/>
              <w:bottom w:w="0" w:type="dxa"/>
            </w:tcMar>
            <w:vAlign w:val="bottom"/>
          </w:tcPr>
          <w:p w14:paraId="3E89F0C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payment</w:t>
            </w:r>
          </w:p>
        </w:tc>
        <w:tc>
          <w:tcPr>
            <w:tcW w:w="1761" w:type="dxa"/>
            <w:shd w:val="clear" w:color="auto" w:fill="FFFFFF"/>
            <w:tcMar>
              <w:top w:w="0" w:type="dxa"/>
              <w:bottom w:w="0" w:type="dxa"/>
            </w:tcMar>
            <w:vAlign w:val="bottom"/>
          </w:tcPr>
          <w:p w14:paraId="4CE7A4B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%/year</w:t>
            </w:r>
          </w:p>
        </w:tc>
        <w:tc>
          <w:tcPr>
            <w:tcW w:w="1551" w:type="dxa"/>
            <w:shd w:val="clear" w:color="auto" w:fill="FFFFFF"/>
            <w:tcMar>
              <w:top w:w="0" w:type="dxa"/>
              <w:bottom w:w="0" w:type="dxa"/>
            </w:tcMar>
            <w:vAlign w:val="bottom"/>
          </w:tcPr>
          <w:p w14:paraId="6DA6DBD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1.46</w:t>
            </w:r>
          </w:p>
        </w:tc>
        <w:tc>
          <w:tcPr>
            <w:tcW w:w="1562" w:type="dxa"/>
            <w:shd w:val="clear" w:color="auto" w:fill="FFFFFF"/>
            <w:tcMar>
              <w:top w:w="0" w:type="dxa"/>
              <w:bottom w:w="0" w:type="dxa"/>
            </w:tcMar>
            <w:vAlign w:val="bottom"/>
          </w:tcPr>
          <w:p w14:paraId="354BCAE0"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5.00</w:t>
            </w:r>
          </w:p>
        </w:tc>
      </w:tr>
      <w:tr w:rsidR="008219AB" w14:paraId="5E1CB642" w14:textId="77777777">
        <w:trPr>
          <w:trHeight w:val="451"/>
        </w:trPr>
        <w:tc>
          <w:tcPr>
            <w:tcW w:w="629" w:type="dxa"/>
            <w:shd w:val="clear" w:color="auto" w:fill="FFFFFF"/>
            <w:tcMar>
              <w:top w:w="0" w:type="dxa"/>
              <w:bottom w:w="0" w:type="dxa"/>
            </w:tcMar>
            <w:vAlign w:val="bottom"/>
          </w:tcPr>
          <w:p w14:paraId="609192F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w:t>
            </w:r>
          </w:p>
        </w:tc>
        <w:tc>
          <w:tcPr>
            <w:tcW w:w="3516" w:type="dxa"/>
            <w:shd w:val="clear" w:color="auto" w:fill="FFFFFF"/>
            <w:tcMar>
              <w:top w:w="0" w:type="dxa"/>
              <w:bottom w:w="0" w:type="dxa"/>
            </w:tcMar>
            <w:vAlign w:val="bottom"/>
          </w:tcPr>
          <w:p w14:paraId="4BC130CE"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investment</w:t>
            </w:r>
          </w:p>
        </w:tc>
        <w:tc>
          <w:tcPr>
            <w:tcW w:w="1761" w:type="dxa"/>
            <w:shd w:val="clear" w:color="auto" w:fill="FFFFFF"/>
            <w:tcMar>
              <w:top w:w="0" w:type="dxa"/>
              <w:bottom w:w="0" w:type="dxa"/>
            </w:tcMar>
            <w:vAlign w:val="bottom"/>
          </w:tcPr>
          <w:p w14:paraId="4D7A257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Million VND</w:t>
            </w:r>
          </w:p>
        </w:tc>
        <w:tc>
          <w:tcPr>
            <w:tcW w:w="1551" w:type="dxa"/>
            <w:shd w:val="clear" w:color="auto" w:fill="FFFFFF"/>
            <w:tcMar>
              <w:top w:w="0" w:type="dxa"/>
              <w:bottom w:w="0" w:type="dxa"/>
            </w:tcMar>
            <w:vAlign w:val="bottom"/>
          </w:tcPr>
          <w:p w14:paraId="61FBAC1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6,879</w:t>
            </w:r>
          </w:p>
        </w:tc>
        <w:tc>
          <w:tcPr>
            <w:tcW w:w="1562" w:type="dxa"/>
            <w:shd w:val="clear" w:color="auto" w:fill="FFFFFF"/>
            <w:tcMar>
              <w:top w:w="0" w:type="dxa"/>
              <w:bottom w:w="0" w:type="dxa"/>
            </w:tcMar>
            <w:vAlign w:val="bottom"/>
          </w:tcPr>
          <w:p w14:paraId="0F056C69"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30,000</w:t>
            </w:r>
          </w:p>
        </w:tc>
      </w:tr>
    </w:tbl>
    <w:p w14:paraId="0E88F21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General Mandate 6: Approve the Proposal on profit distribution plan in 2023 and expected plan for 2024, specifically as follows:</w:t>
      </w:r>
    </w:p>
    <w:p w14:paraId="36BB6C30" w14:textId="77777777" w:rsidR="008219AB" w:rsidRDefault="00A32A7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sz w:val="20"/>
          <w:szCs w:val="20"/>
        </w:rPr>
      </w:pPr>
      <w:r>
        <w:rPr>
          <w:rFonts w:ascii="Arial" w:hAnsi="Arial"/>
          <w:sz w:val="20"/>
        </w:rPr>
        <w:t>Profit distribution plan in 2023:</w:t>
      </w:r>
    </w:p>
    <w:tbl>
      <w:tblPr>
        <w:tblStyle w:val="a1"/>
        <w:tblW w:w="9019" w:type="dxa"/>
        <w:tblLayout w:type="fixed"/>
        <w:tblLook w:val="0000" w:firstRow="0" w:lastRow="0" w:firstColumn="0" w:lastColumn="0" w:noHBand="0" w:noVBand="0"/>
      </w:tblPr>
      <w:tblGrid>
        <w:gridCol w:w="689"/>
        <w:gridCol w:w="6387"/>
        <w:gridCol w:w="1943"/>
      </w:tblGrid>
      <w:tr w:rsidR="008219AB" w14:paraId="4B2E90B5" w14:textId="77777777">
        <w:trPr>
          <w:trHeight w:val="518"/>
        </w:trPr>
        <w:tc>
          <w:tcPr>
            <w:tcW w:w="689" w:type="dxa"/>
            <w:tcBorders>
              <w:top w:val="single" w:sz="4" w:space="0" w:color="000000"/>
              <w:left w:val="single" w:sz="4" w:space="0" w:color="000000"/>
            </w:tcBorders>
            <w:shd w:val="clear" w:color="auto" w:fill="FFFFFF"/>
            <w:tcMar>
              <w:top w:w="0" w:type="dxa"/>
              <w:bottom w:w="0" w:type="dxa"/>
            </w:tcMar>
            <w:vAlign w:val="center"/>
          </w:tcPr>
          <w:p w14:paraId="4F324A7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No.</w:t>
            </w:r>
          </w:p>
        </w:tc>
        <w:tc>
          <w:tcPr>
            <w:tcW w:w="6387" w:type="dxa"/>
            <w:tcBorders>
              <w:top w:val="single" w:sz="4" w:space="0" w:color="000000"/>
              <w:left w:val="single" w:sz="4" w:space="0" w:color="000000"/>
            </w:tcBorders>
            <w:shd w:val="clear" w:color="auto" w:fill="FFFFFF"/>
            <w:tcMar>
              <w:top w:w="0" w:type="dxa"/>
              <w:bottom w:w="0" w:type="dxa"/>
            </w:tcMar>
            <w:vAlign w:val="center"/>
          </w:tcPr>
          <w:p w14:paraId="5760DAE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Targets</w:t>
            </w:r>
          </w:p>
        </w:tc>
        <w:tc>
          <w:tcPr>
            <w:tcW w:w="1943"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39BAB7EB"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Value (VND)</w:t>
            </w:r>
          </w:p>
        </w:tc>
      </w:tr>
      <w:tr w:rsidR="008219AB" w14:paraId="7B30FAEC" w14:textId="77777777">
        <w:trPr>
          <w:trHeight w:val="490"/>
        </w:trPr>
        <w:tc>
          <w:tcPr>
            <w:tcW w:w="689" w:type="dxa"/>
            <w:tcBorders>
              <w:top w:val="single" w:sz="4" w:space="0" w:color="000000"/>
              <w:left w:val="single" w:sz="4" w:space="0" w:color="000000"/>
            </w:tcBorders>
            <w:shd w:val="clear" w:color="auto" w:fill="FFFFFF"/>
            <w:tcMar>
              <w:top w:w="0" w:type="dxa"/>
              <w:bottom w:w="0" w:type="dxa"/>
            </w:tcMar>
          </w:tcPr>
          <w:p w14:paraId="54723D87" w14:textId="77777777" w:rsidR="008219AB" w:rsidRDefault="008219AB">
            <w:pPr>
              <w:tabs>
                <w:tab w:val="left" w:pos="432"/>
              </w:tabs>
              <w:spacing w:after="120" w:line="360" w:lineRule="auto"/>
              <w:rPr>
                <w:rFonts w:ascii="Arial" w:eastAsia="Arial" w:hAnsi="Arial" w:cs="Arial"/>
                <w:sz w:val="20"/>
                <w:szCs w:val="20"/>
              </w:rPr>
            </w:pPr>
          </w:p>
        </w:tc>
        <w:tc>
          <w:tcPr>
            <w:tcW w:w="6387" w:type="dxa"/>
            <w:tcBorders>
              <w:top w:val="single" w:sz="4" w:space="0" w:color="000000"/>
              <w:left w:val="single" w:sz="4" w:space="0" w:color="000000"/>
            </w:tcBorders>
            <w:shd w:val="clear" w:color="auto" w:fill="FFFFFF"/>
            <w:tcMar>
              <w:top w:w="0" w:type="dxa"/>
              <w:bottom w:w="0" w:type="dxa"/>
            </w:tcMar>
          </w:tcPr>
          <w:p w14:paraId="3DAF52B6"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Total undistributed profit after tax</w:t>
            </w:r>
          </w:p>
        </w:tc>
        <w:tc>
          <w:tcPr>
            <w:tcW w:w="1943" w:type="dxa"/>
            <w:tcBorders>
              <w:top w:val="single" w:sz="4" w:space="0" w:color="000000"/>
              <w:left w:val="single" w:sz="4" w:space="0" w:color="000000"/>
              <w:right w:val="single" w:sz="4" w:space="0" w:color="000000"/>
            </w:tcBorders>
            <w:shd w:val="clear" w:color="auto" w:fill="FFFFFF"/>
            <w:tcMar>
              <w:top w:w="0" w:type="dxa"/>
              <w:bottom w:w="0" w:type="dxa"/>
            </w:tcMar>
          </w:tcPr>
          <w:p w14:paraId="0A04F4D3"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734,356,700</w:t>
            </w:r>
          </w:p>
        </w:tc>
      </w:tr>
      <w:tr w:rsidR="008219AB" w14:paraId="57B73209" w14:textId="77777777">
        <w:trPr>
          <w:trHeight w:val="490"/>
        </w:trPr>
        <w:tc>
          <w:tcPr>
            <w:tcW w:w="689" w:type="dxa"/>
            <w:tcBorders>
              <w:top w:val="single" w:sz="4" w:space="0" w:color="000000"/>
              <w:left w:val="single" w:sz="4" w:space="0" w:color="000000"/>
            </w:tcBorders>
            <w:shd w:val="clear" w:color="auto" w:fill="FFFFFF"/>
            <w:tcMar>
              <w:top w:w="0" w:type="dxa"/>
              <w:bottom w:w="0" w:type="dxa"/>
            </w:tcMar>
          </w:tcPr>
          <w:p w14:paraId="21171963" w14:textId="77777777" w:rsidR="008219AB" w:rsidRDefault="008219AB">
            <w:pPr>
              <w:tabs>
                <w:tab w:val="left" w:pos="432"/>
              </w:tabs>
              <w:spacing w:after="120" w:line="360" w:lineRule="auto"/>
              <w:rPr>
                <w:rFonts w:ascii="Arial" w:eastAsia="Arial" w:hAnsi="Arial" w:cs="Arial"/>
                <w:sz w:val="20"/>
                <w:szCs w:val="20"/>
              </w:rPr>
            </w:pPr>
          </w:p>
        </w:tc>
        <w:tc>
          <w:tcPr>
            <w:tcW w:w="6387" w:type="dxa"/>
            <w:tcBorders>
              <w:top w:val="single" w:sz="4" w:space="0" w:color="000000"/>
              <w:left w:val="single" w:sz="4" w:space="0" w:color="000000"/>
            </w:tcBorders>
            <w:shd w:val="clear" w:color="auto" w:fill="FFFFFF"/>
            <w:tcMar>
              <w:top w:w="0" w:type="dxa"/>
              <w:bottom w:w="0" w:type="dxa"/>
            </w:tcMar>
          </w:tcPr>
          <w:p w14:paraId="0E35A2F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Expected distributed as follows:</w:t>
            </w:r>
          </w:p>
        </w:tc>
        <w:tc>
          <w:tcPr>
            <w:tcW w:w="1943" w:type="dxa"/>
            <w:tcBorders>
              <w:top w:val="single" w:sz="4" w:space="0" w:color="000000"/>
              <w:left w:val="single" w:sz="4" w:space="0" w:color="000000"/>
              <w:right w:val="single" w:sz="4" w:space="0" w:color="000000"/>
            </w:tcBorders>
            <w:shd w:val="clear" w:color="auto" w:fill="FFFFFF"/>
            <w:tcMar>
              <w:top w:w="0" w:type="dxa"/>
              <w:bottom w:w="0" w:type="dxa"/>
            </w:tcMar>
          </w:tcPr>
          <w:p w14:paraId="3AB89EF7" w14:textId="77777777" w:rsidR="008219AB" w:rsidRDefault="008219AB">
            <w:pPr>
              <w:tabs>
                <w:tab w:val="left" w:pos="432"/>
              </w:tabs>
              <w:spacing w:after="120" w:line="360" w:lineRule="auto"/>
              <w:rPr>
                <w:rFonts w:ascii="Arial" w:eastAsia="Arial" w:hAnsi="Arial" w:cs="Arial"/>
                <w:sz w:val="20"/>
                <w:szCs w:val="20"/>
              </w:rPr>
            </w:pPr>
          </w:p>
        </w:tc>
      </w:tr>
      <w:tr w:rsidR="008219AB" w14:paraId="555D5AB2" w14:textId="77777777">
        <w:trPr>
          <w:trHeight w:val="499"/>
        </w:trPr>
        <w:tc>
          <w:tcPr>
            <w:tcW w:w="689" w:type="dxa"/>
            <w:tcBorders>
              <w:top w:val="single" w:sz="4" w:space="0" w:color="000000"/>
              <w:left w:val="single" w:sz="4" w:space="0" w:color="000000"/>
            </w:tcBorders>
            <w:shd w:val="clear" w:color="auto" w:fill="FFFFFF"/>
            <w:tcMar>
              <w:top w:w="0" w:type="dxa"/>
              <w:bottom w:w="0" w:type="dxa"/>
            </w:tcMar>
          </w:tcPr>
          <w:p w14:paraId="2A0767FA" w14:textId="77777777" w:rsidR="008219AB" w:rsidRDefault="008219AB">
            <w:pPr>
              <w:tabs>
                <w:tab w:val="left" w:pos="432"/>
              </w:tabs>
              <w:spacing w:after="120" w:line="360" w:lineRule="auto"/>
              <w:rPr>
                <w:rFonts w:ascii="Arial" w:eastAsia="Arial" w:hAnsi="Arial" w:cs="Arial"/>
                <w:sz w:val="20"/>
                <w:szCs w:val="20"/>
              </w:rPr>
            </w:pPr>
          </w:p>
        </w:tc>
        <w:tc>
          <w:tcPr>
            <w:tcW w:w="6387" w:type="dxa"/>
            <w:tcBorders>
              <w:top w:val="single" w:sz="4" w:space="0" w:color="000000"/>
              <w:left w:val="single" w:sz="4" w:space="0" w:color="000000"/>
            </w:tcBorders>
            <w:shd w:val="clear" w:color="auto" w:fill="FFFFFF"/>
            <w:tcMar>
              <w:top w:w="0" w:type="dxa"/>
              <w:bottom w:w="0" w:type="dxa"/>
            </w:tcMar>
          </w:tcPr>
          <w:p w14:paraId="792C9A17"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Appropriation for Investment and Development fund</w:t>
            </w:r>
          </w:p>
        </w:tc>
        <w:tc>
          <w:tcPr>
            <w:tcW w:w="1943" w:type="dxa"/>
            <w:tcBorders>
              <w:top w:val="single" w:sz="4" w:space="0" w:color="000000"/>
              <w:left w:val="single" w:sz="4" w:space="0" w:color="000000"/>
              <w:right w:val="single" w:sz="4" w:space="0" w:color="000000"/>
            </w:tcBorders>
            <w:shd w:val="clear" w:color="auto" w:fill="FFFFFF"/>
            <w:tcMar>
              <w:top w:w="0" w:type="dxa"/>
              <w:bottom w:w="0" w:type="dxa"/>
            </w:tcMar>
          </w:tcPr>
          <w:p w14:paraId="3F204E0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0</w:t>
            </w:r>
          </w:p>
        </w:tc>
      </w:tr>
      <w:tr w:rsidR="008219AB" w14:paraId="2D6BF53D" w14:textId="77777777">
        <w:trPr>
          <w:trHeight w:val="509"/>
        </w:trPr>
        <w:tc>
          <w:tcPr>
            <w:tcW w:w="689" w:type="dxa"/>
            <w:tcBorders>
              <w:top w:val="single" w:sz="4" w:space="0" w:color="000000"/>
              <w:left w:val="single" w:sz="4" w:space="0" w:color="000000"/>
              <w:bottom w:val="single" w:sz="4" w:space="0" w:color="000000"/>
            </w:tcBorders>
            <w:shd w:val="clear" w:color="auto" w:fill="FFFFFF"/>
            <w:tcMar>
              <w:top w:w="0" w:type="dxa"/>
              <w:bottom w:w="0" w:type="dxa"/>
            </w:tcMar>
          </w:tcPr>
          <w:p w14:paraId="796D52CD" w14:textId="77777777" w:rsidR="008219AB" w:rsidRDefault="008219AB">
            <w:pPr>
              <w:tabs>
                <w:tab w:val="left" w:pos="432"/>
              </w:tabs>
              <w:spacing w:after="120" w:line="360" w:lineRule="auto"/>
              <w:rPr>
                <w:rFonts w:ascii="Arial" w:eastAsia="Arial" w:hAnsi="Arial" w:cs="Arial"/>
                <w:sz w:val="20"/>
                <w:szCs w:val="20"/>
              </w:rPr>
            </w:pPr>
          </w:p>
        </w:tc>
        <w:tc>
          <w:tcPr>
            <w:tcW w:w="6387" w:type="dxa"/>
            <w:tcBorders>
              <w:top w:val="single" w:sz="4" w:space="0" w:color="000000"/>
              <w:left w:val="single" w:sz="4" w:space="0" w:color="000000"/>
              <w:bottom w:val="single" w:sz="4" w:space="0" w:color="000000"/>
            </w:tcBorders>
            <w:shd w:val="clear" w:color="auto" w:fill="FFFFFF"/>
            <w:tcMar>
              <w:top w:w="0" w:type="dxa"/>
              <w:bottom w:w="0" w:type="dxa"/>
            </w:tcMar>
          </w:tcPr>
          <w:p w14:paraId="720E7124"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Appropriation for bonus and welfare funds</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2F1756DC"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473,100</w:t>
            </w:r>
          </w:p>
        </w:tc>
      </w:tr>
      <w:tr w:rsidR="008219AB" w14:paraId="275AD146" w14:textId="77777777">
        <w:trPr>
          <w:trHeight w:val="509"/>
        </w:trPr>
        <w:tc>
          <w:tcPr>
            <w:tcW w:w="689" w:type="dxa"/>
            <w:tcBorders>
              <w:top w:val="single" w:sz="4" w:space="0" w:color="000000"/>
              <w:left w:val="single" w:sz="4" w:space="0" w:color="000000"/>
              <w:bottom w:val="single" w:sz="4" w:space="0" w:color="000000"/>
            </w:tcBorders>
            <w:shd w:val="clear" w:color="auto" w:fill="FFFFFF"/>
            <w:tcMar>
              <w:top w:w="0" w:type="dxa"/>
              <w:bottom w:w="0" w:type="dxa"/>
            </w:tcMar>
          </w:tcPr>
          <w:p w14:paraId="21ABEB4C" w14:textId="77777777" w:rsidR="008219AB" w:rsidRDefault="008219AB">
            <w:pPr>
              <w:tabs>
                <w:tab w:val="left" w:pos="432"/>
              </w:tabs>
              <w:spacing w:after="120" w:line="360" w:lineRule="auto"/>
              <w:rPr>
                <w:rFonts w:ascii="Arial" w:eastAsia="Arial" w:hAnsi="Arial" w:cs="Arial"/>
                <w:sz w:val="20"/>
                <w:szCs w:val="20"/>
              </w:rPr>
            </w:pPr>
          </w:p>
        </w:tc>
        <w:tc>
          <w:tcPr>
            <w:tcW w:w="6387" w:type="dxa"/>
            <w:tcBorders>
              <w:top w:val="single" w:sz="4" w:space="0" w:color="000000"/>
              <w:left w:val="single" w:sz="4" w:space="0" w:color="000000"/>
              <w:bottom w:val="single" w:sz="4" w:space="0" w:color="000000"/>
            </w:tcBorders>
            <w:shd w:val="clear" w:color="auto" w:fill="FFFFFF"/>
            <w:tcMar>
              <w:top w:w="0" w:type="dxa"/>
              <w:bottom w:w="0" w:type="dxa"/>
            </w:tcMar>
          </w:tcPr>
          <w:p w14:paraId="5B6E76AF"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Dividend payment (Charter capital x 1.46%)</w:t>
            </w:r>
          </w:p>
        </w:tc>
        <w:tc>
          <w:tcPr>
            <w:tcW w:w="1943"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37CBFAA1" w14:textId="77777777" w:rsidR="008219AB" w:rsidRDefault="00A32A77">
            <w:pPr>
              <w:pBdr>
                <w:top w:val="nil"/>
                <w:left w:val="nil"/>
                <w:bottom w:val="nil"/>
                <w:right w:val="nil"/>
                <w:between w:val="nil"/>
              </w:pBdr>
              <w:tabs>
                <w:tab w:val="left" w:pos="432"/>
              </w:tabs>
              <w:spacing w:after="120" w:line="360" w:lineRule="auto"/>
              <w:rPr>
                <w:rFonts w:ascii="Arial" w:eastAsia="Arial" w:hAnsi="Arial" w:cs="Arial"/>
                <w:sz w:val="20"/>
                <w:szCs w:val="20"/>
              </w:rPr>
            </w:pPr>
            <w:r>
              <w:rPr>
                <w:rFonts w:ascii="Arial" w:hAnsi="Arial"/>
                <w:sz w:val="20"/>
              </w:rPr>
              <w:t>733,883,600</w:t>
            </w:r>
          </w:p>
        </w:tc>
      </w:tr>
    </w:tbl>
    <w:p w14:paraId="621B3BA6" w14:textId="06B6FDC2"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w:t>
      </w:r>
      <w:r w:rsidR="008E0382">
        <w:rPr>
          <w:rFonts w:ascii="Arial" w:hAnsi="Arial"/>
          <w:sz w:val="20"/>
        </w:rPr>
        <w:t>General Meeting</w:t>
      </w:r>
      <w:r>
        <w:rPr>
          <w:rFonts w:ascii="Arial" w:hAnsi="Arial"/>
          <w:sz w:val="20"/>
        </w:rPr>
        <w:t xml:space="preserve"> assigned the Board of Directors to be responsible for: Paying dividends and allocating funds including the method and time in accordance with the regulations.</w:t>
      </w:r>
    </w:p>
    <w:p w14:paraId="49CC4B9C" w14:textId="77777777" w:rsidR="008219AB" w:rsidRDefault="00A32A77" w:rsidP="008E0382">
      <w:pPr>
        <w:numPr>
          <w:ilvl w:val="0"/>
          <w:numId w:val="4"/>
        </w:numPr>
        <w:pBdr>
          <w:top w:val="nil"/>
          <w:left w:val="nil"/>
          <w:bottom w:val="nil"/>
          <w:right w:val="nil"/>
          <w:between w:val="nil"/>
        </w:pBdr>
        <w:tabs>
          <w:tab w:val="left" w:pos="432"/>
          <w:tab w:val="left" w:pos="594"/>
        </w:tabs>
        <w:spacing w:after="120" w:line="360" w:lineRule="auto"/>
        <w:jc w:val="both"/>
        <w:rPr>
          <w:rFonts w:ascii="Arial" w:eastAsia="Arial" w:hAnsi="Arial" w:cs="Arial"/>
          <w:sz w:val="20"/>
          <w:szCs w:val="20"/>
        </w:rPr>
      </w:pPr>
      <w:r>
        <w:rPr>
          <w:rFonts w:ascii="Arial" w:hAnsi="Arial"/>
          <w:sz w:val="20"/>
        </w:rPr>
        <w:t>Regarding expected profit after tax distribution in 2024.</w:t>
      </w:r>
    </w:p>
    <w:p w14:paraId="3D7D86A0" w14:textId="77777777" w:rsidR="008219AB" w:rsidRDefault="00A32A77" w:rsidP="008E0382">
      <w:pPr>
        <w:numPr>
          <w:ilvl w:val="0"/>
          <w:numId w:val="1"/>
        </w:numPr>
        <w:pBdr>
          <w:top w:val="nil"/>
          <w:left w:val="nil"/>
          <w:bottom w:val="nil"/>
          <w:right w:val="nil"/>
          <w:between w:val="nil"/>
        </w:pBdr>
        <w:tabs>
          <w:tab w:val="left" w:pos="432"/>
          <w:tab w:val="left" w:pos="502"/>
        </w:tabs>
        <w:spacing w:after="120" w:line="360" w:lineRule="auto"/>
        <w:jc w:val="both"/>
        <w:rPr>
          <w:rFonts w:ascii="Arial" w:eastAsia="Arial" w:hAnsi="Arial" w:cs="Arial"/>
          <w:sz w:val="20"/>
          <w:szCs w:val="20"/>
        </w:rPr>
      </w:pPr>
      <w:r>
        <w:rPr>
          <w:rFonts w:ascii="Arial" w:hAnsi="Arial"/>
          <w:sz w:val="20"/>
        </w:rPr>
        <w:t>Minimum dividend rate: 5% of Charter capital.</w:t>
      </w:r>
    </w:p>
    <w:p w14:paraId="13A271A2" w14:textId="56FFE0B3" w:rsidR="008219AB" w:rsidRDefault="00A32A77" w:rsidP="008E0382">
      <w:pPr>
        <w:numPr>
          <w:ilvl w:val="0"/>
          <w:numId w:val="1"/>
        </w:numPr>
        <w:pBdr>
          <w:top w:val="nil"/>
          <w:left w:val="nil"/>
          <w:bottom w:val="nil"/>
          <w:right w:val="nil"/>
          <w:between w:val="nil"/>
        </w:pBdr>
        <w:tabs>
          <w:tab w:val="left" w:pos="402"/>
          <w:tab w:val="left" w:pos="432"/>
        </w:tabs>
        <w:spacing w:after="120" w:line="360" w:lineRule="auto"/>
        <w:jc w:val="both"/>
        <w:rPr>
          <w:rFonts w:ascii="Arial" w:eastAsia="Arial" w:hAnsi="Arial" w:cs="Arial"/>
          <w:sz w:val="20"/>
          <w:szCs w:val="20"/>
        </w:rPr>
      </w:pPr>
      <w:r>
        <w:rPr>
          <w:rFonts w:ascii="Arial" w:hAnsi="Arial"/>
          <w:sz w:val="20"/>
        </w:rPr>
        <w:t xml:space="preserve">Appropriation for bonus and welfare funds: </w:t>
      </w:r>
      <w:r w:rsidR="008E0382">
        <w:rPr>
          <w:rFonts w:ascii="Arial" w:hAnsi="Arial"/>
          <w:sz w:val="20"/>
        </w:rPr>
        <w:t>Following consideration for</w:t>
      </w:r>
      <w:bookmarkStart w:id="0" w:name="_GoBack"/>
      <w:bookmarkEnd w:id="0"/>
      <w:r>
        <w:rPr>
          <w:rFonts w:ascii="Arial" w:hAnsi="Arial"/>
          <w:sz w:val="20"/>
        </w:rPr>
        <w:t xml:space="preserve"> the actual situation, the Board of Directors will prepare a plan to submit to the </w:t>
      </w:r>
      <w:r w:rsidR="008E0382">
        <w:rPr>
          <w:rFonts w:ascii="Arial" w:hAnsi="Arial"/>
          <w:sz w:val="20"/>
        </w:rPr>
        <w:t>General Meeting</w:t>
      </w:r>
      <w:r>
        <w:rPr>
          <w:rFonts w:ascii="Arial" w:hAnsi="Arial"/>
          <w:sz w:val="20"/>
        </w:rPr>
        <w:t xml:space="preserve"> for approval.</w:t>
      </w:r>
    </w:p>
    <w:p w14:paraId="59EE0E98"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General Mandate 7: Approve the Proposal on approving the remuneration for the Board of Directors, </w:t>
      </w:r>
      <w:r>
        <w:rPr>
          <w:rFonts w:ascii="Arial" w:hAnsi="Arial"/>
          <w:sz w:val="20"/>
        </w:rPr>
        <w:lastRenderedPageBreak/>
        <w:t xml:space="preserve">the Supervisory Board, the Secretariat of the Board of Directors in 2024, specifically: </w:t>
      </w:r>
    </w:p>
    <w:p w14:paraId="1CB2C6A5"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Remuneration for non-executive members of the Board of Directors and the Supervisory Board (excluding personal income tax)</w:t>
      </w:r>
    </w:p>
    <w:p w14:paraId="117B7139" w14:textId="77777777" w:rsidR="008219AB" w:rsidRDefault="00A32A77" w:rsidP="008E038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The Chair and the Vice Chair of the Board of Directors: VND5,000,000/month</w:t>
      </w:r>
    </w:p>
    <w:p w14:paraId="47B363E9" w14:textId="77777777" w:rsidR="008219AB" w:rsidRDefault="00A32A77" w:rsidP="008E038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sz w:val="20"/>
          <w:szCs w:val="20"/>
        </w:rPr>
      </w:pPr>
      <w:r>
        <w:rPr>
          <w:rFonts w:ascii="Arial" w:hAnsi="Arial"/>
          <w:sz w:val="20"/>
        </w:rPr>
        <w:t>Members of the Board of Directors, the Chief of the Supervisory Board: VND4,000,000/month;</w:t>
      </w:r>
    </w:p>
    <w:p w14:paraId="480CB111" w14:textId="77777777" w:rsidR="008219AB" w:rsidRDefault="00A32A77" w:rsidP="008E0382">
      <w:pPr>
        <w:numPr>
          <w:ilvl w:val="0"/>
          <w:numId w:val="3"/>
        </w:numPr>
        <w:pBdr>
          <w:top w:val="nil"/>
          <w:left w:val="nil"/>
          <w:bottom w:val="nil"/>
          <w:right w:val="nil"/>
          <w:between w:val="nil"/>
        </w:pBdr>
        <w:tabs>
          <w:tab w:val="left" w:pos="432"/>
          <w:tab w:val="left" w:pos="5128"/>
        </w:tabs>
        <w:spacing w:after="120" w:line="360" w:lineRule="auto"/>
        <w:ind w:left="0" w:firstLine="0"/>
        <w:jc w:val="both"/>
        <w:rPr>
          <w:rFonts w:ascii="Arial" w:eastAsia="Arial" w:hAnsi="Arial" w:cs="Arial"/>
          <w:sz w:val="20"/>
          <w:szCs w:val="20"/>
        </w:rPr>
      </w:pPr>
      <w:r>
        <w:rPr>
          <w:rFonts w:ascii="Arial" w:hAnsi="Arial"/>
          <w:sz w:val="20"/>
        </w:rPr>
        <w:t>Members of the Supervisory Board: VND2,000,000/month</w:t>
      </w:r>
    </w:p>
    <w:p w14:paraId="29F1C7B2" w14:textId="77777777" w:rsidR="008219AB" w:rsidRDefault="00A32A77" w:rsidP="008E0382">
      <w:pPr>
        <w:numPr>
          <w:ilvl w:val="0"/>
          <w:numId w:val="3"/>
        </w:numPr>
        <w:pBdr>
          <w:top w:val="nil"/>
          <w:left w:val="nil"/>
          <w:bottom w:val="nil"/>
          <w:right w:val="nil"/>
          <w:between w:val="nil"/>
        </w:pBdr>
        <w:tabs>
          <w:tab w:val="left" w:pos="432"/>
          <w:tab w:val="left" w:pos="5128"/>
        </w:tabs>
        <w:spacing w:after="120" w:line="360" w:lineRule="auto"/>
        <w:ind w:left="0" w:firstLine="0"/>
        <w:jc w:val="both"/>
        <w:rPr>
          <w:rFonts w:ascii="Arial" w:eastAsia="Arial" w:hAnsi="Arial" w:cs="Arial"/>
          <w:sz w:val="20"/>
          <w:szCs w:val="20"/>
        </w:rPr>
      </w:pPr>
      <w:r>
        <w:rPr>
          <w:rFonts w:ascii="Arial" w:hAnsi="Arial"/>
          <w:sz w:val="20"/>
        </w:rPr>
        <w:t>The Secretariat of the Board of Directors: VND2,000,000/month</w:t>
      </w:r>
    </w:p>
    <w:p w14:paraId="3B86CE6E"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Remuneration for executive members of the Board of Directors: VND14,000,000/month</w:t>
      </w:r>
    </w:p>
    <w:p w14:paraId="3DAA38D7"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General Mandate 8: Approve the Proposal on selecting the audit company for the Financial Statements 2024.</w:t>
      </w:r>
    </w:p>
    <w:p w14:paraId="465352A4" w14:textId="77777777"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General Mandate 9: Approve the Proposal on implementing the relocation of the Head office of Mechanized Construction and Installation Joint Stock Company.</w:t>
      </w:r>
    </w:p>
    <w:p w14:paraId="059642CF" w14:textId="3641748B"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w:t>
      </w:r>
      <w:r w:rsidR="008E0382">
        <w:rPr>
          <w:rFonts w:ascii="Arial" w:hAnsi="Arial"/>
          <w:sz w:val="20"/>
        </w:rPr>
        <w:t>General Meeting</w:t>
      </w:r>
      <w:r>
        <w:rPr>
          <w:rFonts w:ascii="Arial" w:hAnsi="Arial"/>
          <w:sz w:val="20"/>
        </w:rPr>
        <w:t xml:space="preserve"> approved the relocation of the Head office of the Company as follows:</w:t>
      </w:r>
    </w:p>
    <w:p w14:paraId="708DC1E2" w14:textId="17C9AC1B" w:rsidR="008219AB" w:rsidRDefault="00A32A77" w:rsidP="008E0382">
      <w:pPr>
        <w:numPr>
          <w:ilvl w:val="0"/>
          <w:numId w:val="1"/>
        </w:numPr>
        <w:pBdr>
          <w:top w:val="nil"/>
          <w:left w:val="nil"/>
          <w:bottom w:val="nil"/>
          <w:right w:val="nil"/>
          <w:between w:val="nil"/>
        </w:pBdr>
        <w:tabs>
          <w:tab w:val="left" w:pos="432"/>
          <w:tab w:val="left" w:pos="810"/>
        </w:tabs>
        <w:spacing w:after="120" w:line="360" w:lineRule="auto"/>
        <w:jc w:val="both"/>
        <w:rPr>
          <w:rFonts w:ascii="Arial" w:eastAsia="Arial" w:hAnsi="Arial" w:cs="Arial"/>
          <w:sz w:val="20"/>
          <w:szCs w:val="20"/>
        </w:rPr>
      </w:pPr>
      <w:r>
        <w:rPr>
          <w:rFonts w:ascii="Arial" w:hAnsi="Arial"/>
          <w:sz w:val="20"/>
        </w:rPr>
        <w:t xml:space="preserve">Former address: No. 2, </w:t>
      </w:r>
      <w:r w:rsidR="008E0382">
        <w:rPr>
          <w:rFonts w:ascii="Arial" w:hAnsi="Arial"/>
          <w:sz w:val="20"/>
        </w:rPr>
        <w:t>Road</w:t>
      </w:r>
      <w:r>
        <w:rPr>
          <w:rFonts w:ascii="Arial" w:hAnsi="Arial"/>
          <w:sz w:val="20"/>
        </w:rPr>
        <w:t xml:space="preserve"> 1, Bien </w:t>
      </w:r>
      <w:proofErr w:type="spellStart"/>
      <w:r>
        <w:rPr>
          <w:rFonts w:ascii="Arial" w:hAnsi="Arial"/>
          <w:sz w:val="20"/>
        </w:rPr>
        <w:t>Hoa</w:t>
      </w:r>
      <w:proofErr w:type="spellEnd"/>
      <w:r>
        <w:rPr>
          <w:rFonts w:ascii="Arial" w:hAnsi="Arial"/>
          <w:sz w:val="20"/>
        </w:rPr>
        <w:t xml:space="preserve"> 1 Industrial Park, An </w:t>
      </w:r>
      <w:proofErr w:type="spellStart"/>
      <w:r>
        <w:rPr>
          <w:rFonts w:ascii="Arial" w:hAnsi="Arial"/>
          <w:sz w:val="20"/>
        </w:rPr>
        <w:t>Binh</w:t>
      </w:r>
      <w:proofErr w:type="spellEnd"/>
      <w:r>
        <w:rPr>
          <w:rFonts w:ascii="Arial" w:hAnsi="Arial"/>
          <w:sz w:val="20"/>
        </w:rPr>
        <w:t xml:space="preserve">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Vietnam.</w:t>
      </w:r>
    </w:p>
    <w:p w14:paraId="0953EE45" w14:textId="5DE5C263" w:rsidR="008219AB" w:rsidRDefault="00A32A77" w:rsidP="008E0382">
      <w:pPr>
        <w:numPr>
          <w:ilvl w:val="0"/>
          <w:numId w:val="1"/>
        </w:numPr>
        <w:pBdr>
          <w:top w:val="nil"/>
          <w:left w:val="nil"/>
          <w:bottom w:val="nil"/>
          <w:right w:val="nil"/>
          <w:between w:val="nil"/>
        </w:pBdr>
        <w:tabs>
          <w:tab w:val="left" w:pos="432"/>
          <w:tab w:val="left" w:pos="810"/>
        </w:tabs>
        <w:spacing w:after="120" w:line="360" w:lineRule="auto"/>
        <w:jc w:val="both"/>
        <w:rPr>
          <w:rFonts w:ascii="Arial" w:eastAsia="Arial" w:hAnsi="Arial" w:cs="Arial"/>
          <w:sz w:val="20"/>
          <w:szCs w:val="20"/>
        </w:rPr>
      </w:pPr>
      <w:r>
        <w:rPr>
          <w:rFonts w:ascii="Arial" w:hAnsi="Arial"/>
          <w:sz w:val="20"/>
        </w:rPr>
        <w:t xml:space="preserve">New address: No. 200, Nguyen Ai Quoc </w:t>
      </w:r>
      <w:r w:rsidR="008E0382">
        <w:rPr>
          <w:rFonts w:ascii="Arial" w:hAnsi="Arial"/>
          <w:sz w:val="20"/>
        </w:rPr>
        <w:t>Road</w:t>
      </w:r>
      <w:r>
        <w:rPr>
          <w:rFonts w:ascii="Arial" w:hAnsi="Arial"/>
          <w:sz w:val="20"/>
        </w:rPr>
        <w:t xml:space="preserve">, Trang Dai Ward, Bien </w:t>
      </w:r>
      <w:proofErr w:type="spellStart"/>
      <w:r>
        <w:rPr>
          <w:rFonts w:ascii="Arial" w:hAnsi="Arial"/>
          <w:sz w:val="20"/>
        </w:rPr>
        <w:t>Hoa</w:t>
      </w:r>
      <w:proofErr w:type="spellEnd"/>
      <w:r>
        <w:rPr>
          <w:rFonts w:ascii="Arial" w:hAnsi="Arial"/>
          <w:sz w:val="20"/>
        </w:rPr>
        <w:t xml:space="preserve"> City, Dong </w:t>
      </w:r>
      <w:proofErr w:type="spellStart"/>
      <w:r>
        <w:rPr>
          <w:rFonts w:ascii="Arial" w:hAnsi="Arial"/>
          <w:sz w:val="20"/>
        </w:rPr>
        <w:t>Nai</w:t>
      </w:r>
      <w:proofErr w:type="spellEnd"/>
      <w:r>
        <w:rPr>
          <w:rFonts w:ascii="Arial" w:hAnsi="Arial"/>
          <w:sz w:val="20"/>
        </w:rPr>
        <w:t xml:space="preserve"> Province, Vietnam.</w:t>
      </w:r>
    </w:p>
    <w:p w14:paraId="73E88795" w14:textId="6B15C2BC" w:rsidR="008219AB" w:rsidRDefault="00A32A77"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 xml:space="preserve">The </w:t>
      </w:r>
      <w:r w:rsidR="008E0382">
        <w:rPr>
          <w:rFonts w:ascii="Arial" w:hAnsi="Arial"/>
          <w:sz w:val="20"/>
        </w:rPr>
        <w:t>General Meeting</w:t>
      </w:r>
      <w:r>
        <w:rPr>
          <w:rFonts w:ascii="Arial" w:hAnsi="Arial"/>
          <w:sz w:val="20"/>
        </w:rPr>
        <w:t xml:space="preserve"> assigned the Board of Directors of the Company to direct the implementation of the relocation of the head office, ensuring compliance with the provisions of law, stabilization of production and business activities, and cost efficiency.</w:t>
      </w:r>
    </w:p>
    <w:p w14:paraId="3AA65A03" w14:textId="77777777" w:rsidR="008219AB" w:rsidRDefault="00A32A77" w:rsidP="008E0382">
      <w:pPr>
        <w:pBdr>
          <w:top w:val="nil"/>
          <w:left w:val="nil"/>
          <w:bottom w:val="nil"/>
          <w:right w:val="nil"/>
          <w:between w:val="nil"/>
        </w:pBdr>
        <w:tabs>
          <w:tab w:val="left" w:pos="432"/>
          <w:tab w:val="left" w:pos="9115"/>
        </w:tabs>
        <w:spacing w:after="120" w:line="360" w:lineRule="auto"/>
        <w:jc w:val="both"/>
        <w:rPr>
          <w:rFonts w:ascii="Arial" w:eastAsia="Arial" w:hAnsi="Arial" w:cs="Arial"/>
          <w:sz w:val="20"/>
          <w:szCs w:val="20"/>
        </w:rPr>
      </w:pPr>
      <w:r>
        <w:rPr>
          <w:rFonts w:ascii="Arial" w:hAnsi="Arial"/>
          <w:sz w:val="20"/>
        </w:rPr>
        <w:t>‎‎Article 2. Terms of enforcement</w:t>
      </w:r>
    </w:p>
    <w:p w14:paraId="1AD7FABC" w14:textId="4A292CC4" w:rsidR="008219AB" w:rsidRDefault="00A32A77" w:rsidP="008E0382">
      <w:pPr>
        <w:pBdr>
          <w:top w:val="nil"/>
          <w:left w:val="nil"/>
          <w:bottom w:val="nil"/>
          <w:right w:val="nil"/>
          <w:between w:val="nil"/>
        </w:pBdr>
        <w:tabs>
          <w:tab w:val="left" w:pos="432"/>
          <w:tab w:val="left" w:pos="9508"/>
        </w:tabs>
        <w:spacing w:after="120" w:line="360" w:lineRule="auto"/>
        <w:jc w:val="both"/>
        <w:rPr>
          <w:rFonts w:ascii="Arial" w:eastAsia="Arial" w:hAnsi="Arial" w:cs="Arial"/>
          <w:sz w:val="20"/>
          <w:szCs w:val="20"/>
        </w:rPr>
      </w:pPr>
      <w:r>
        <w:rPr>
          <w:rFonts w:ascii="Arial" w:hAnsi="Arial"/>
          <w:sz w:val="20"/>
        </w:rPr>
        <w:t>This General Mandate takes effect from the date of its signing. Members of the Board of Di</w:t>
      </w:r>
      <w:r w:rsidR="008E0382">
        <w:rPr>
          <w:rFonts w:ascii="Arial" w:hAnsi="Arial"/>
          <w:sz w:val="20"/>
        </w:rPr>
        <w:t xml:space="preserve">rectors, the Supervisory Board and Executive Board </w:t>
      </w:r>
      <w:r>
        <w:rPr>
          <w:rFonts w:ascii="Arial" w:hAnsi="Arial"/>
          <w:sz w:val="20"/>
        </w:rPr>
        <w:t>of the Company, relevant units, and individuals implement based on this General Mandate./.</w:t>
      </w:r>
    </w:p>
    <w:p w14:paraId="6ABAC95F" w14:textId="77777777" w:rsidR="008219AB" w:rsidRDefault="008219AB" w:rsidP="008E0382">
      <w:pPr>
        <w:pBdr>
          <w:top w:val="nil"/>
          <w:left w:val="nil"/>
          <w:bottom w:val="nil"/>
          <w:right w:val="nil"/>
          <w:between w:val="nil"/>
        </w:pBdr>
        <w:tabs>
          <w:tab w:val="left" w:pos="432"/>
        </w:tabs>
        <w:spacing w:after="120" w:line="360" w:lineRule="auto"/>
        <w:jc w:val="both"/>
        <w:rPr>
          <w:rFonts w:ascii="Arial" w:eastAsia="Arial" w:hAnsi="Arial" w:cs="Arial"/>
          <w:sz w:val="20"/>
          <w:szCs w:val="20"/>
        </w:rPr>
      </w:pPr>
    </w:p>
    <w:sectPr w:rsidR="008219AB">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067E"/>
    <w:multiLevelType w:val="multilevel"/>
    <w:tmpl w:val="6E32EEF6"/>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9765523"/>
    <w:multiLevelType w:val="multilevel"/>
    <w:tmpl w:val="EA4CE65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F533B6"/>
    <w:multiLevelType w:val="multilevel"/>
    <w:tmpl w:val="36BC39A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CD49CC"/>
    <w:multiLevelType w:val="multilevel"/>
    <w:tmpl w:val="D2EEA9FA"/>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AB"/>
    <w:rsid w:val="008219AB"/>
    <w:rsid w:val="008E0382"/>
    <w:rsid w:val="00A32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9AE5"/>
  <w15:docId w15:val="{F0F951E1-38FA-465D-A9A0-5920F8B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BA6A81"/>
      <w:sz w:val="42"/>
      <w:szCs w:val="4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Tablecaption0">
    <w:name w:val="Table caption"/>
    <w:basedOn w:val="Normal"/>
    <w:link w:val="Tablecaption"/>
    <w:pPr>
      <w:spacing w:line="247" w:lineRule="auto"/>
      <w:ind w:firstLine="350"/>
    </w:pPr>
    <w:rPr>
      <w:rFonts w:ascii="Times New Roman" w:eastAsia="Times New Roman" w:hAnsi="Times New Roman" w:cs="Times New Roman"/>
    </w:rPr>
  </w:style>
  <w:style w:type="paragraph" w:customStyle="1" w:styleId="Other0">
    <w:name w:val="Other"/>
    <w:basedOn w:val="Normal"/>
    <w:link w:val="Other"/>
    <w:pPr>
      <w:spacing w:line="262" w:lineRule="auto"/>
      <w:ind w:firstLine="160"/>
    </w:pPr>
    <w:rPr>
      <w:rFonts w:ascii="Times New Roman" w:eastAsia="Times New Roman" w:hAnsi="Times New Roman" w:cs="Times New Roman"/>
    </w:rPr>
  </w:style>
  <w:style w:type="paragraph" w:customStyle="1" w:styleId="Bodytext30">
    <w:name w:val="Body text (3)"/>
    <w:basedOn w:val="Normal"/>
    <w:link w:val="Bodytext3"/>
    <w:pPr>
      <w:ind w:left="-20"/>
      <w:jc w:val="center"/>
    </w:pPr>
    <w:rPr>
      <w:rFonts w:ascii="Arial" w:eastAsia="Arial" w:hAnsi="Arial" w:cs="Arial"/>
      <w:sz w:val="22"/>
      <w:szCs w:val="22"/>
    </w:rPr>
  </w:style>
  <w:style w:type="paragraph" w:customStyle="1" w:styleId="Bodytext20">
    <w:name w:val="Body text (2)"/>
    <w:basedOn w:val="Normal"/>
    <w:link w:val="Bodytext2"/>
    <w:rPr>
      <w:rFonts w:ascii="Times New Roman" w:eastAsia="Times New Roman" w:hAnsi="Times New Roman" w:cs="Times New Roman"/>
      <w:i/>
      <w:iCs/>
      <w:sz w:val="19"/>
      <w:szCs w:val="19"/>
    </w:rPr>
  </w:style>
  <w:style w:type="paragraph" w:styleId="BodyText">
    <w:name w:val="Body Text"/>
    <w:basedOn w:val="Normal"/>
    <w:link w:val="BodyTextChar"/>
    <w:qFormat/>
    <w:pPr>
      <w:spacing w:line="262" w:lineRule="auto"/>
      <w:ind w:firstLine="160"/>
    </w:pPr>
    <w:rPr>
      <w:rFonts w:ascii="Times New Roman" w:eastAsia="Times New Roman" w:hAnsi="Times New Roman" w:cs="Times New Roman"/>
    </w:rPr>
  </w:style>
  <w:style w:type="paragraph" w:customStyle="1" w:styleId="Heading11">
    <w:name w:val="Heading #1"/>
    <w:basedOn w:val="Normal"/>
    <w:link w:val="Heading10"/>
    <w:pPr>
      <w:spacing w:line="221" w:lineRule="auto"/>
      <w:jc w:val="right"/>
      <w:outlineLvl w:val="0"/>
    </w:pPr>
    <w:rPr>
      <w:rFonts w:ascii="Arial" w:eastAsia="Arial" w:hAnsi="Arial" w:cs="Arial"/>
      <w:color w:val="BA6A81"/>
      <w:sz w:val="42"/>
      <w:szCs w:val="4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bBHbp5t44InLO4uvvGvdAIjJyA==">CgMxLjA4AHIhMW1JdzNPOXF5dkFKbHdTX1F4UDdhVmktLUkxRTM4R0Nl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2024-07-03T02:53:00Z</dcterms:created>
  <dcterms:modified xsi:type="dcterms:W3CDTF">2024-07-03T02:53:00Z</dcterms:modified>
</cp:coreProperties>
</file>