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sidRPr="00FB1771">
        <w:rPr>
          <w:rFonts w:ascii="Arial" w:hAnsi="Arial" w:cs="Arial"/>
          <w:b/>
          <w:color w:val="010000"/>
          <w:sz w:val="20"/>
        </w:rPr>
        <w:t>MTG: Board Resolution</w:t>
      </w:r>
    </w:p>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On June 27, 2024, </w:t>
      </w:r>
      <w:r w:rsidR="00FB1771" w:rsidRPr="00FB1771">
        <w:rPr>
          <w:rFonts w:ascii="Arial" w:hAnsi="Arial" w:cs="Arial"/>
          <w:color w:val="010000"/>
          <w:sz w:val="20"/>
        </w:rPr>
        <w:t xml:space="preserve">MT Gas Joint Stock Company </w:t>
      </w:r>
      <w:r w:rsidRPr="00FB1771">
        <w:rPr>
          <w:rFonts w:ascii="Arial" w:hAnsi="Arial" w:cs="Arial"/>
          <w:color w:val="010000"/>
          <w:sz w:val="20"/>
        </w:rPr>
        <w:t xml:space="preserve">announced Resolution </w:t>
      </w:r>
      <w:r w:rsidR="009F6D93" w:rsidRPr="00FB1771">
        <w:rPr>
          <w:rFonts w:ascii="Arial" w:hAnsi="Arial" w:cs="Arial"/>
          <w:color w:val="010000"/>
          <w:sz w:val="20"/>
        </w:rPr>
        <w:t xml:space="preserve">No. </w:t>
      </w:r>
      <w:r w:rsidRPr="00FB1771">
        <w:rPr>
          <w:rFonts w:ascii="Arial" w:hAnsi="Arial" w:cs="Arial"/>
          <w:color w:val="010000"/>
          <w:sz w:val="20"/>
        </w:rPr>
        <w:t>09/2024/NQ/H</w:t>
      </w:r>
      <w:r w:rsidR="00FB1771" w:rsidRPr="00FB1771">
        <w:rPr>
          <w:rFonts w:ascii="Arial" w:hAnsi="Arial" w:cs="Arial"/>
          <w:color w:val="010000"/>
          <w:sz w:val="20"/>
        </w:rPr>
        <w:t>D</w:t>
      </w:r>
      <w:r w:rsidRPr="00FB1771">
        <w:rPr>
          <w:rFonts w:ascii="Arial" w:hAnsi="Arial" w:cs="Arial"/>
          <w:color w:val="010000"/>
          <w:sz w:val="20"/>
        </w:rPr>
        <w:t xml:space="preserve">QT-MTG on proposing for the issuance of </w:t>
      </w:r>
      <w:r w:rsidR="00FB1771" w:rsidRPr="00FB1771">
        <w:rPr>
          <w:rFonts w:ascii="Arial" w:hAnsi="Arial" w:cs="Arial"/>
          <w:color w:val="010000"/>
          <w:sz w:val="20"/>
        </w:rPr>
        <w:t xml:space="preserve">the </w:t>
      </w:r>
      <w:r w:rsidRPr="00FB1771">
        <w:rPr>
          <w:rFonts w:ascii="Arial" w:hAnsi="Arial" w:cs="Arial"/>
          <w:color w:val="010000"/>
          <w:sz w:val="20"/>
        </w:rPr>
        <w:t xml:space="preserve">line of credit in 2024-2025, working capital loans and credit guarantee at Vietinbank- Hoi An Branch as follows: </w:t>
      </w:r>
    </w:p>
    <w:p w:rsidR="00FB1771" w:rsidRPr="00FB1771" w:rsidRDefault="001D1171" w:rsidP="00FB1771">
      <w:pPr>
        <w:pBdr>
          <w:top w:val="nil"/>
          <w:left w:val="nil"/>
          <w:bottom w:val="nil"/>
          <w:right w:val="nil"/>
          <w:between w:val="nil"/>
        </w:pBdr>
        <w:tabs>
          <w:tab w:val="left" w:pos="432"/>
        </w:tabs>
        <w:spacing w:after="120" w:line="360" w:lineRule="auto"/>
        <w:rPr>
          <w:rFonts w:ascii="Arial" w:hAnsi="Arial" w:cs="Arial"/>
          <w:color w:val="010000"/>
          <w:sz w:val="20"/>
        </w:rPr>
      </w:pPr>
      <w:r w:rsidRPr="00FB1771">
        <w:rPr>
          <w:rFonts w:ascii="Arial" w:hAnsi="Arial" w:cs="Arial"/>
          <w:color w:val="010000"/>
          <w:sz w:val="20"/>
        </w:rPr>
        <w:t xml:space="preserve">Article 1. Approve short-term business plan for the next 12 months: </w:t>
      </w:r>
    </w:p>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(Unit: Million VND)</w:t>
      </w:r>
    </w:p>
    <w:tbl>
      <w:tblPr>
        <w:tblStyle w:val="a"/>
        <w:tblW w:w="5000" w:type="pct"/>
        <w:tblLook w:val="0400" w:firstRow="0" w:lastRow="0" w:firstColumn="0" w:lastColumn="0" w:noHBand="0" w:noVBand="1"/>
      </w:tblPr>
      <w:tblGrid>
        <w:gridCol w:w="2342"/>
        <w:gridCol w:w="1504"/>
        <w:gridCol w:w="1373"/>
        <w:gridCol w:w="1355"/>
        <w:gridCol w:w="1227"/>
        <w:gridCol w:w="1218"/>
      </w:tblGrid>
      <w:tr w:rsidR="002D5D74" w:rsidRPr="00FB1771" w:rsidTr="009F6D93">
        <w:tc>
          <w:tcPr>
            <w:tcW w:w="1298" w:type="pct"/>
            <w:vMerge w:val="restar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Targets</w:t>
            </w:r>
          </w:p>
        </w:tc>
        <w:tc>
          <w:tcPr>
            <w:tcW w:w="834" w:type="pct"/>
            <w:vMerge w:val="restar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Results </w:t>
            </w:r>
            <w:r w:rsidR="00FB1771" w:rsidRPr="00FB1771">
              <w:rPr>
                <w:rFonts w:ascii="Arial" w:hAnsi="Arial" w:cs="Arial"/>
                <w:color w:val="010000"/>
                <w:sz w:val="20"/>
              </w:rPr>
              <w:t xml:space="preserve">in </w:t>
            </w:r>
            <w:r w:rsidRPr="00FB1771">
              <w:rPr>
                <w:rFonts w:ascii="Arial" w:hAnsi="Arial" w:cs="Arial"/>
                <w:color w:val="010000"/>
                <w:sz w:val="20"/>
              </w:rPr>
              <w:t>Q1/2024</w:t>
            </w:r>
          </w:p>
        </w:tc>
        <w:tc>
          <w:tcPr>
            <w:tcW w:w="761" w:type="pct"/>
            <w:vMerge w:val="restart"/>
            <w:tcBorders>
              <w:top w:val="single" w:sz="4" w:space="0" w:color="000000"/>
              <w:left w:val="single" w:sz="4" w:space="0" w:color="000000"/>
            </w:tcBorders>
            <w:shd w:val="clear" w:color="auto" w:fill="auto"/>
            <w:tcMar>
              <w:top w:w="0" w:type="dxa"/>
              <w:bottom w:w="0" w:type="dxa"/>
            </w:tcMar>
            <w:vAlign w:val="center"/>
          </w:tcPr>
          <w:p w:rsidR="00FB1771" w:rsidRPr="00FB1771" w:rsidRDefault="001D1171" w:rsidP="00FB1771">
            <w:pPr>
              <w:pBdr>
                <w:top w:val="nil"/>
                <w:left w:val="nil"/>
                <w:bottom w:val="nil"/>
                <w:right w:val="nil"/>
                <w:between w:val="nil"/>
              </w:pBdr>
              <w:tabs>
                <w:tab w:val="left" w:pos="432"/>
              </w:tabs>
              <w:spacing w:after="120" w:line="360" w:lineRule="auto"/>
              <w:rPr>
                <w:rFonts w:ascii="Arial" w:hAnsi="Arial" w:cs="Arial"/>
                <w:color w:val="010000"/>
                <w:sz w:val="20"/>
              </w:rPr>
            </w:pPr>
            <w:r w:rsidRPr="00FB1771">
              <w:rPr>
                <w:rFonts w:ascii="Arial" w:hAnsi="Arial" w:cs="Arial"/>
                <w:color w:val="010000"/>
                <w:sz w:val="20"/>
              </w:rPr>
              <w:t>Results 2023</w:t>
            </w:r>
          </w:p>
        </w:tc>
        <w:tc>
          <w:tcPr>
            <w:tcW w:w="751" w:type="pct"/>
            <w:vMerge w:val="restar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Plan 2024-2025</w:t>
            </w:r>
          </w:p>
        </w:tc>
        <w:tc>
          <w:tcPr>
            <w:tcW w:w="1355"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Compared Plan 2024 to Plan 2023</w:t>
            </w:r>
          </w:p>
        </w:tc>
      </w:tr>
      <w:tr w:rsidR="002D5D74" w:rsidRPr="00FB1771" w:rsidTr="009F6D93">
        <w:tc>
          <w:tcPr>
            <w:tcW w:w="1298" w:type="pct"/>
            <w:vMerge/>
            <w:tcBorders>
              <w:top w:val="single" w:sz="4" w:space="0" w:color="000000"/>
              <w:left w:val="single" w:sz="4" w:space="0" w:color="000000"/>
            </w:tcBorders>
            <w:shd w:val="clear" w:color="auto" w:fill="auto"/>
            <w:tcMar>
              <w:top w:w="0" w:type="dxa"/>
              <w:bottom w:w="0" w:type="dxa"/>
            </w:tcMar>
            <w:vAlign w:val="center"/>
          </w:tcPr>
          <w:p w:rsidR="002D5D74" w:rsidRPr="00FB1771" w:rsidRDefault="002D5D74"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34" w:type="pct"/>
            <w:vMerge/>
            <w:tcBorders>
              <w:top w:val="single" w:sz="4" w:space="0" w:color="000000"/>
              <w:left w:val="single" w:sz="4" w:space="0" w:color="000000"/>
            </w:tcBorders>
            <w:shd w:val="clear" w:color="auto" w:fill="auto"/>
            <w:tcMar>
              <w:top w:w="0" w:type="dxa"/>
              <w:bottom w:w="0" w:type="dxa"/>
            </w:tcMar>
            <w:vAlign w:val="center"/>
          </w:tcPr>
          <w:p w:rsidR="002D5D74" w:rsidRPr="00FB1771" w:rsidRDefault="002D5D74"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61" w:type="pct"/>
            <w:vMerge/>
            <w:tcBorders>
              <w:top w:val="single" w:sz="4" w:space="0" w:color="000000"/>
              <w:left w:val="single" w:sz="4" w:space="0" w:color="000000"/>
            </w:tcBorders>
            <w:shd w:val="clear" w:color="auto" w:fill="auto"/>
            <w:tcMar>
              <w:top w:w="0" w:type="dxa"/>
              <w:bottom w:w="0" w:type="dxa"/>
            </w:tcMar>
            <w:vAlign w:val="center"/>
          </w:tcPr>
          <w:p w:rsidR="002D5D74" w:rsidRPr="00FB1771" w:rsidRDefault="002D5D74"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751" w:type="pct"/>
            <w:vMerge/>
            <w:tcBorders>
              <w:top w:val="single" w:sz="4" w:space="0" w:color="000000"/>
              <w:left w:val="single" w:sz="4" w:space="0" w:color="000000"/>
            </w:tcBorders>
            <w:shd w:val="clear" w:color="auto" w:fill="auto"/>
            <w:tcMar>
              <w:top w:w="0" w:type="dxa"/>
              <w:bottom w:w="0" w:type="dxa"/>
            </w:tcMar>
            <w:vAlign w:val="center"/>
          </w:tcPr>
          <w:p w:rsidR="002D5D74" w:rsidRPr="00FB1771" w:rsidRDefault="002D5D74"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680"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w:t>
            </w:r>
          </w:p>
        </w:tc>
        <w:tc>
          <w:tcPr>
            <w:tcW w:w="6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w:t>
            </w:r>
          </w:p>
        </w:tc>
      </w:tr>
      <w:tr w:rsidR="002D5D74" w:rsidRPr="00FB1771" w:rsidTr="009F6D93">
        <w:tc>
          <w:tcPr>
            <w:tcW w:w="1298"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Net revenue</w:t>
            </w:r>
          </w:p>
        </w:tc>
        <w:tc>
          <w:tcPr>
            <w:tcW w:w="834"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178,874</w:t>
            </w:r>
          </w:p>
        </w:tc>
        <w:tc>
          <w:tcPr>
            <w:tcW w:w="76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695,571</w:t>
            </w:r>
          </w:p>
        </w:tc>
        <w:tc>
          <w:tcPr>
            <w:tcW w:w="75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826,000</w:t>
            </w:r>
          </w:p>
        </w:tc>
        <w:tc>
          <w:tcPr>
            <w:tcW w:w="680"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130,429</w:t>
            </w:r>
          </w:p>
        </w:tc>
        <w:tc>
          <w:tcPr>
            <w:tcW w:w="6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19%</w:t>
            </w:r>
          </w:p>
        </w:tc>
      </w:tr>
      <w:tr w:rsidR="002D5D74" w:rsidRPr="00FB1771" w:rsidTr="009F6D93">
        <w:tc>
          <w:tcPr>
            <w:tcW w:w="1298"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Total expenses</w:t>
            </w:r>
          </w:p>
        </w:tc>
        <w:tc>
          <w:tcPr>
            <w:tcW w:w="834"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177,983</w:t>
            </w:r>
          </w:p>
        </w:tc>
        <w:tc>
          <w:tcPr>
            <w:tcW w:w="76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691,782</w:t>
            </w:r>
          </w:p>
        </w:tc>
        <w:tc>
          <w:tcPr>
            <w:tcW w:w="75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818,740</w:t>
            </w:r>
          </w:p>
        </w:tc>
        <w:tc>
          <w:tcPr>
            <w:tcW w:w="680"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126,958</w:t>
            </w:r>
          </w:p>
        </w:tc>
        <w:tc>
          <w:tcPr>
            <w:tcW w:w="6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18%</w:t>
            </w:r>
          </w:p>
        </w:tc>
      </w:tr>
      <w:tr w:rsidR="002D5D74" w:rsidRPr="00FB1771" w:rsidTr="009F6D93">
        <w:tc>
          <w:tcPr>
            <w:tcW w:w="1298"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1771">
              <w:rPr>
                <w:rFonts w:ascii="Arial" w:hAnsi="Arial" w:cs="Arial"/>
                <w:color w:val="010000"/>
                <w:sz w:val="20"/>
              </w:rPr>
              <w:t>Cost of goods sold</w:t>
            </w:r>
          </w:p>
        </w:tc>
        <w:tc>
          <w:tcPr>
            <w:tcW w:w="834"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173,316</w:t>
            </w:r>
          </w:p>
        </w:tc>
        <w:tc>
          <w:tcPr>
            <w:tcW w:w="76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673,629</w:t>
            </w:r>
          </w:p>
        </w:tc>
        <w:tc>
          <w:tcPr>
            <w:tcW w:w="75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792,960</w:t>
            </w:r>
          </w:p>
        </w:tc>
        <w:tc>
          <w:tcPr>
            <w:tcW w:w="680"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119,331</w:t>
            </w:r>
          </w:p>
        </w:tc>
        <w:tc>
          <w:tcPr>
            <w:tcW w:w="6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18%</w:t>
            </w:r>
          </w:p>
        </w:tc>
      </w:tr>
      <w:tr w:rsidR="002D5D74" w:rsidRPr="00FB1771" w:rsidTr="009F6D93">
        <w:tc>
          <w:tcPr>
            <w:tcW w:w="1298"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FB1771" w:rsidP="00FB177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1771">
              <w:rPr>
                <w:rFonts w:ascii="Arial" w:hAnsi="Arial" w:cs="Arial"/>
                <w:color w:val="010000"/>
                <w:sz w:val="20"/>
              </w:rPr>
              <w:t>Sale</w:t>
            </w:r>
            <w:r w:rsidR="001D1171" w:rsidRPr="00FB1771">
              <w:rPr>
                <w:rFonts w:ascii="Arial" w:hAnsi="Arial" w:cs="Arial"/>
                <w:color w:val="010000"/>
                <w:sz w:val="20"/>
              </w:rPr>
              <w:t xml:space="preserve"> expense</w:t>
            </w:r>
          </w:p>
        </w:tc>
        <w:tc>
          <w:tcPr>
            <w:tcW w:w="834"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2,880</w:t>
            </w:r>
          </w:p>
        </w:tc>
        <w:tc>
          <w:tcPr>
            <w:tcW w:w="76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12,526</w:t>
            </w:r>
          </w:p>
        </w:tc>
        <w:tc>
          <w:tcPr>
            <w:tcW w:w="75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16,520</w:t>
            </w:r>
          </w:p>
        </w:tc>
        <w:tc>
          <w:tcPr>
            <w:tcW w:w="680"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3,994</w:t>
            </w:r>
          </w:p>
        </w:tc>
        <w:tc>
          <w:tcPr>
            <w:tcW w:w="6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32%</w:t>
            </w:r>
          </w:p>
        </w:tc>
      </w:tr>
      <w:tr w:rsidR="002D5D74" w:rsidRPr="00FB1771" w:rsidTr="009F6D93">
        <w:tc>
          <w:tcPr>
            <w:tcW w:w="1298"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1771">
              <w:rPr>
                <w:rFonts w:ascii="Arial" w:hAnsi="Arial" w:cs="Arial"/>
                <w:color w:val="010000"/>
                <w:sz w:val="20"/>
              </w:rPr>
              <w:t>General and administrative expense</w:t>
            </w:r>
          </w:p>
        </w:tc>
        <w:tc>
          <w:tcPr>
            <w:tcW w:w="834"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1,445</w:t>
            </w:r>
          </w:p>
        </w:tc>
        <w:tc>
          <w:tcPr>
            <w:tcW w:w="76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5,248</w:t>
            </w:r>
          </w:p>
        </w:tc>
        <w:tc>
          <w:tcPr>
            <w:tcW w:w="75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8,260</w:t>
            </w:r>
          </w:p>
        </w:tc>
        <w:tc>
          <w:tcPr>
            <w:tcW w:w="680"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3,012</w:t>
            </w:r>
          </w:p>
        </w:tc>
        <w:tc>
          <w:tcPr>
            <w:tcW w:w="6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57%</w:t>
            </w:r>
          </w:p>
        </w:tc>
      </w:tr>
      <w:tr w:rsidR="002D5D74" w:rsidRPr="00FB1771" w:rsidTr="009F6D93">
        <w:tc>
          <w:tcPr>
            <w:tcW w:w="1298"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1771">
              <w:rPr>
                <w:rFonts w:ascii="Arial" w:hAnsi="Arial" w:cs="Arial"/>
                <w:color w:val="010000"/>
                <w:sz w:val="20"/>
              </w:rPr>
              <w:t>Interest expenses</w:t>
            </w:r>
          </w:p>
        </w:tc>
        <w:tc>
          <w:tcPr>
            <w:tcW w:w="834"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342</w:t>
            </w:r>
          </w:p>
        </w:tc>
        <w:tc>
          <w:tcPr>
            <w:tcW w:w="76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379</w:t>
            </w:r>
          </w:p>
        </w:tc>
        <w:tc>
          <w:tcPr>
            <w:tcW w:w="75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1,000</w:t>
            </w:r>
          </w:p>
        </w:tc>
        <w:tc>
          <w:tcPr>
            <w:tcW w:w="680"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621</w:t>
            </w:r>
          </w:p>
        </w:tc>
        <w:tc>
          <w:tcPr>
            <w:tcW w:w="6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164%</w:t>
            </w:r>
          </w:p>
        </w:tc>
      </w:tr>
      <w:tr w:rsidR="002D5D74" w:rsidRPr="00FB1771" w:rsidTr="009F6D93">
        <w:tc>
          <w:tcPr>
            <w:tcW w:w="1298"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Profit before tax</w:t>
            </w:r>
          </w:p>
        </w:tc>
        <w:tc>
          <w:tcPr>
            <w:tcW w:w="834"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267</w:t>
            </w:r>
          </w:p>
        </w:tc>
        <w:tc>
          <w:tcPr>
            <w:tcW w:w="76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1,864</w:t>
            </w:r>
          </w:p>
        </w:tc>
        <w:tc>
          <w:tcPr>
            <w:tcW w:w="751"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7,260</w:t>
            </w:r>
          </w:p>
        </w:tc>
        <w:tc>
          <w:tcPr>
            <w:tcW w:w="680" w:type="pct"/>
            <w:tcBorders>
              <w:top w:val="single" w:sz="4" w:space="0" w:color="000000"/>
              <w:lef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5,396</w:t>
            </w:r>
          </w:p>
        </w:tc>
        <w:tc>
          <w:tcPr>
            <w:tcW w:w="6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289%</w:t>
            </w:r>
          </w:p>
        </w:tc>
      </w:tr>
      <w:tr w:rsidR="002D5D74" w:rsidRPr="00FB1771" w:rsidTr="009F6D93">
        <w:tc>
          <w:tcPr>
            <w:tcW w:w="129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Profit after tax</w:t>
            </w:r>
          </w:p>
        </w:tc>
        <w:tc>
          <w:tcPr>
            <w:tcW w:w="83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267</w:t>
            </w:r>
          </w:p>
        </w:tc>
        <w:tc>
          <w:tcPr>
            <w:tcW w:w="7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1,376</w:t>
            </w:r>
          </w:p>
        </w:tc>
        <w:tc>
          <w:tcPr>
            <w:tcW w:w="7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5,808</w:t>
            </w:r>
          </w:p>
        </w:tc>
        <w:tc>
          <w:tcPr>
            <w:tcW w:w="6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4,432</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322%</w:t>
            </w:r>
          </w:p>
        </w:tc>
      </w:tr>
    </w:tbl>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Article 2. Agree to carry out credit transactions (according to one or more or at the same time in the form of credit extension: loans, guarantees, </w:t>
      </w:r>
      <w:r w:rsidR="00FB1771" w:rsidRPr="00FB1771">
        <w:rPr>
          <w:rFonts w:ascii="Arial" w:hAnsi="Arial" w:cs="Arial"/>
          <w:color w:val="010000"/>
          <w:sz w:val="20"/>
        </w:rPr>
        <w:t>letter of credit</w:t>
      </w:r>
      <w:r w:rsidRPr="00FB1771">
        <w:rPr>
          <w:rFonts w:ascii="Arial" w:hAnsi="Arial" w:cs="Arial"/>
          <w:color w:val="010000"/>
          <w:sz w:val="20"/>
        </w:rPr>
        <w:t xml:space="preserve">, etc.) </w:t>
      </w:r>
      <w:r w:rsidR="00FB1771" w:rsidRPr="00FB1771">
        <w:rPr>
          <w:rFonts w:ascii="Arial" w:hAnsi="Arial" w:cs="Arial"/>
          <w:color w:val="010000"/>
          <w:sz w:val="20"/>
        </w:rPr>
        <w:t xml:space="preserve">and </w:t>
      </w:r>
      <w:r w:rsidRPr="00FB1771">
        <w:rPr>
          <w:rFonts w:ascii="Arial" w:hAnsi="Arial" w:cs="Arial"/>
          <w:color w:val="010000"/>
          <w:sz w:val="20"/>
        </w:rPr>
        <w:t xml:space="preserve">approve relevant Contracts between the Company and Vietnam Joint Stock Commercial Bank for Industry and Trade- Hoi An Branch with a maximum amount of VND55,000,000,000, of which: </w:t>
      </w:r>
    </w:p>
    <w:p w:rsidR="002D5D74" w:rsidRPr="00FB1771" w:rsidRDefault="00FB1771" w:rsidP="00FB1771">
      <w:pPr>
        <w:numPr>
          <w:ilvl w:val="0"/>
          <w:numId w:val="3"/>
        </w:numPr>
        <w:pBdr>
          <w:top w:val="nil"/>
          <w:left w:val="nil"/>
          <w:bottom w:val="nil"/>
          <w:right w:val="nil"/>
          <w:between w:val="nil"/>
        </w:pBdr>
        <w:tabs>
          <w:tab w:val="left" w:pos="432"/>
          <w:tab w:val="left" w:pos="1078"/>
        </w:tabs>
        <w:spacing w:after="120" w:line="360" w:lineRule="auto"/>
        <w:rPr>
          <w:rFonts w:ascii="Arial" w:eastAsia="Arial" w:hAnsi="Arial" w:cs="Arial"/>
          <w:color w:val="010000"/>
          <w:sz w:val="20"/>
          <w:szCs w:val="20"/>
        </w:rPr>
      </w:pPr>
      <w:r w:rsidRPr="00FB1771">
        <w:rPr>
          <w:rFonts w:ascii="Arial" w:hAnsi="Arial" w:cs="Arial"/>
          <w:color w:val="010000"/>
          <w:sz w:val="20"/>
        </w:rPr>
        <w:t>Loan limit</w:t>
      </w:r>
      <w:r w:rsidR="001D1171" w:rsidRPr="00FB1771">
        <w:rPr>
          <w:rFonts w:ascii="Arial" w:hAnsi="Arial" w:cs="Arial"/>
          <w:color w:val="010000"/>
          <w:sz w:val="20"/>
        </w:rPr>
        <w:t>: VND55,000,000,000.</w:t>
      </w:r>
    </w:p>
    <w:p w:rsidR="002D5D74" w:rsidRPr="00FB1771" w:rsidRDefault="001D1171" w:rsidP="00FB1771">
      <w:pPr>
        <w:numPr>
          <w:ilvl w:val="0"/>
          <w:numId w:val="2"/>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Limit for </w:t>
      </w:r>
      <w:r w:rsidR="00FB1771" w:rsidRPr="00FB1771">
        <w:rPr>
          <w:rFonts w:ascii="Arial" w:hAnsi="Arial" w:cs="Arial"/>
          <w:color w:val="010000"/>
          <w:sz w:val="20"/>
        </w:rPr>
        <w:t xml:space="preserve">medium </w:t>
      </w:r>
      <w:r w:rsidRPr="00FB1771">
        <w:rPr>
          <w:rFonts w:ascii="Arial" w:hAnsi="Arial" w:cs="Arial"/>
          <w:color w:val="010000"/>
          <w:sz w:val="20"/>
        </w:rPr>
        <w:t>and long-term loan: VND0</w:t>
      </w:r>
    </w:p>
    <w:p w:rsidR="002D5D74" w:rsidRPr="00FB1771" w:rsidRDefault="001D1171" w:rsidP="00FB1771">
      <w:pPr>
        <w:numPr>
          <w:ilvl w:val="0"/>
          <w:numId w:val="2"/>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Short-term loan limit </w:t>
      </w:r>
      <w:r w:rsidR="00FB1771" w:rsidRPr="00FB1771">
        <w:rPr>
          <w:rFonts w:ascii="Arial" w:hAnsi="Arial" w:cs="Arial"/>
          <w:color w:val="010000"/>
          <w:sz w:val="20"/>
        </w:rPr>
        <w:t xml:space="preserve">of the </w:t>
      </w:r>
      <w:r w:rsidRPr="00FB1771">
        <w:rPr>
          <w:rFonts w:ascii="Arial" w:hAnsi="Arial" w:cs="Arial"/>
          <w:color w:val="010000"/>
          <w:sz w:val="20"/>
        </w:rPr>
        <w:t>Charter capital: VND55,000,000,000</w:t>
      </w:r>
    </w:p>
    <w:p w:rsidR="002D5D74" w:rsidRPr="00FB1771" w:rsidRDefault="00FB1771" w:rsidP="00FB1771">
      <w:pPr>
        <w:numPr>
          <w:ilvl w:val="0"/>
          <w:numId w:val="3"/>
        </w:numPr>
        <w:pBdr>
          <w:top w:val="nil"/>
          <w:left w:val="nil"/>
          <w:bottom w:val="nil"/>
          <w:right w:val="nil"/>
          <w:between w:val="nil"/>
        </w:pBdr>
        <w:tabs>
          <w:tab w:val="left" w:pos="432"/>
          <w:tab w:val="left" w:pos="1078"/>
        </w:tabs>
        <w:spacing w:after="120" w:line="360" w:lineRule="auto"/>
        <w:rPr>
          <w:rFonts w:ascii="Arial" w:eastAsia="Arial" w:hAnsi="Arial" w:cs="Arial"/>
          <w:color w:val="010000"/>
          <w:sz w:val="20"/>
          <w:szCs w:val="20"/>
        </w:rPr>
      </w:pPr>
      <w:r w:rsidRPr="00FB1771">
        <w:rPr>
          <w:rFonts w:ascii="Arial" w:hAnsi="Arial" w:cs="Arial"/>
          <w:color w:val="010000"/>
          <w:sz w:val="20"/>
        </w:rPr>
        <w:t>Guarantee limit</w:t>
      </w:r>
      <w:r w:rsidR="001D1171" w:rsidRPr="00FB1771">
        <w:rPr>
          <w:rFonts w:ascii="Arial" w:hAnsi="Arial" w:cs="Arial"/>
          <w:color w:val="010000"/>
          <w:sz w:val="20"/>
        </w:rPr>
        <w:t>: VND55,000,000,000</w:t>
      </w:r>
    </w:p>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Article 3. Approve collateral for the loan: Pledge/escrow/mortgage:</w:t>
      </w:r>
    </w:p>
    <w:p w:rsidR="002D5D74" w:rsidRPr="00FB1771" w:rsidRDefault="001D1171" w:rsidP="00FB1771">
      <w:pPr>
        <w:numPr>
          <w:ilvl w:val="0"/>
          <w:numId w:val="2"/>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Deposit account balance; </w:t>
      </w:r>
      <w:r w:rsidR="00FB1771" w:rsidRPr="00FB1771">
        <w:rPr>
          <w:rFonts w:ascii="Arial" w:hAnsi="Arial" w:cs="Arial"/>
          <w:color w:val="010000"/>
          <w:sz w:val="20"/>
        </w:rPr>
        <w:t xml:space="preserve">savings </w:t>
      </w:r>
      <w:r w:rsidRPr="00FB1771">
        <w:rPr>
          <w:rFonts w:ascii="Arial" w:hAnsi="Arial" w:cs="Arial"/>
          <w:color w:val="010000"/>
          <w:sz w:val="20"/>
        </w:rPr>
        <w:t xml:space="preserve">books/cards, </w:t>
      </w:r>
      <w:r w:rsidR="00FB1771" w:rsidRPr="00FB1771">
        <w:rPr>
          <w:rFonts w:ascii="Arial" w:hAnsi="Arial" w:cs="Arial"/>
          <w:color w:val="010000"/>
          <w:sz w:val="20"/>
        </w:rPr>
        <w:t>deposit contracts, valu</w:t>
      </w:r>
      <w:r w:rsidRPr="00FB1771">
        <w:rPr>
          <w:rFonts w:ascii="Arial" w:hAnsi="Arial" w:cs="Arial"/>
          <w:color w:val="010000"/>
          <w:sz w:val="20"/>
        </w:rPr>
        <w:t>able papers issued Vietinbank-Hoi An Branch</w:t>
      </w:r>
    </w:p>
    <w:p w:rsidR="002D5D74" w:rsidRPr="00FB1771" w:rsidRDefault="001D1171" w:rsidP="00FB1771">
      <w:pPr>
        <w:numPr>
          <w:ilvl w:val="0"/>
          <w:numId w:val="2"/>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FB1771">
        <w:rPr>
          <w:rFonts w:ascii="Arial" w:hAnsi="Arial" w:cs="Arial"/>
          <w:color w:val="010000"/>
          <w:sz w:val="20"/>
        </w:rPr>
        <w:t>Goods and receivables turnover</w:t>
      </w:r>
    </w:p>
    <w:p w:rsidR="002D5D74" w:rsidRPr="00FB1771" w:rsidRDefault="001D1171" w:rsidP="00FB1771">
      <w:pPr>
        <w:numPr>
          <w:ilvl w:val="0"/>
          <w:numId w:val="2"/>
        </w:numPr>
        <w:pBdr>
          <w:top w:val="nil"/>
          <w:left w:val="nil"/>
          <w:bottom w:val="nil"/>
          <w:right w:val="nil"/>
          <w:between w:val="nil"/>
        </w:pBdr>
        <w:tabs>
          <w:tab w:val="left" w:pos="432"/>
          <w:tab w:val="left" w:pos="1154"/>
        </w:tabs>
        <w:spacing w:after="120" w:line="360" w:lineRule="auto"/>
        <w:rPr>
          <w:rFonts w:ascii="Arial" w:eastAsia="Arial" w:hAnsi="Arial" w:cs="Arial"/>
          <w:color w:val="010000"/>
          <w:sz w:val="20"/>
          <w:szCs w:val="20"/>
        </w:rPr>
      </w:pPr>
      <w:r w:rsidRPr="00FB1771">
        <w:rPr>
          <w:rFonts w:ascii="Arial" w:hAnsi="Arial" w:cs="Arial"/>
          <w:color w:val="010000"/>
          <w:sz w:val="20"/>
        </w:rPr>
        <w:t>And other as</w:t>
      </w:r>
      <w:r w:rsidR="00FB1771" w:rsidRPr="00FB1771">
        <w:rPr>
          <w:rFonts w:ascii="Arial" w:hAnsi="Arial" w:cs="Arial"/>
          <w:color w:val="010000"/>
          <w:sz w:val="20"/>
        </w:rPr>
        <w:t>sets as regulated by Vietinbank.</w:t>
      </w:r>
    </w:p>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Article 4. Approve credit agreements, </w:t>
      </w:r>
      <w:r w:rsidR="00FB1771" w:rsidRPr="00FB1771">
        <w:rPr>
          <w:rFonts w:ascii="Arial" w:hAnsi="Arial" w:cs="Arial"/>
          <w:color w:val="010000"/>
          <w:sz w:val="20"/>
        </w:rPr>
        <w:t xml:space="preserve">and </w:t>
      </w:r>
      <w:r w:rsidRPr="00FB1771">
        <w:rPr>
          <w:rFonts w:ascii="Arial" w:hAnsi="Arial" w:cs="Arial"/>
          <w:color w:val="010000"/>
          <w:sz w:val="20"/>
        </w:rPr>
        <w:t xml:space="preserve">collateral agreements (including amended agreements), the </w:t>
      </w:r>
      <w:r w:rsidRPr="00FB1771">
        <w:rPr>
          <w:rFonts w:ascii="Arial" w:hAnsi="Arial" w:cs="Arial"/>
          <w:color w:val="010000"/>
          <w:sz w:val="20"/>
        </w:rPr>
        <w:lastRenderedPageBreak/>
        <w:t xml:space="preserve">company will sign in the future related to credit facilities, </w:t>
      </w:r>
      <w:r w:rsidR="00FB1771" w:rsidRPr="00FB1771">
        <w:rPr>
          <w:rFonts w:ascii="Arial" w:hAnsi="Arial" w:cs="Arial"/>
          <w:color w:val="010000"/>
          <w:sz w:val="20"/>
        </w:rPr>
        <w:t xml:space="preserve">the </w:t>
      </w:r>
      <w:r w:rsidRPr="00FB1771">
        <w:rPr>
          <w:rFonts w:ascii="Arial" w:hAnsi="Arial" w:cs="Arial"/>
          <w:color w:val="010000"/>
          <w:sz w:val="20"/>
        </w:rPr>
        <w:t xml:space="preserve">opening of </w:t>
      </w:r>
      <w:r w:rsidR="00FB1771" w:rsidRPr="00FB1771">
        <w:rPr>
          <w:rFonts w:ascii="Arial" w:hAnsi="Arial" w:cs="Arial"/>
          <w:color w:val="010000"/>
          <w:sz w:val="20"/>
        </w:rPr>
        <w:t>letters of credit</w:t>
      </w:r>
      <w:r w:rsidRPr="00FB1771">
        <w:rPr>
          <w:rFonts w:ascii="Arial" w:hAnsi="Arial" w:cs="Arial"/>
          <w:color w:val="010000"/>
          <w:sz w:val="20"/>
        </w:rPr>
        <w:t xml:space="preserve">, </w:t>
      </w:r>
      <w:r w:rsidR="00FB1771" w:rsidRPr="00FB1771">
        <w:rPr>
          <w:rFonts w:ascii="Arial" w:hAnsi="Arial" w:cs="Arial"/>
          <w:color w:val="010000"/>
          <w:sz w:val="20"/>
        </w:rPr>
        <w:t xml:space="preserve">and </w:t>
      </w:r>
      <w:r w:rsidRPr="00FB1771">
        <w:rPr>
          <w:rFonts w:ascii="Arial" w:hAnsi="Arial" w:cs="Arial"/>
          <w:color w:val="010000"/>
          <w:sz w:val="20"/>
        </w:rPr>
        <w:t>asset mortgages to secure obligations of the company at</w:t>
      </w:r>
      <w:r w:rsidR="009F6D93" w:rsidRPr="00FB1771">
        <w:rPr>
          <w:rFonts w:ascii="Arial" w:hAnsi="Arial" w:cs="Arial"/>
          <w:color w:val="010000"/>
          <w:sz w:val="20"/>
        </w:rPr>
        <w:t xml:space="preserve"> </w:t>
      </w:r>
      <w:r w:rsidRPr="00FB1771">
        <w:rPr>
          <w:rFonts w:ascii="Arial" w:hAnsi="Arial" w:cs="Arial"/>
          <w:color w:val="010000"/>
          <w:sz w:val="20"/>
        </w:rPr>
        <w:t xml:space="preserve">Vietnam Joint Stock Commercial Bank for Industry and Trade- Hoi An Branch. </w:t>
      </w:r>
    </w:p>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Article 5. Assign Mr. Nguyen Anh Tu - Position: The General Manager is responsible for signing credit contracts; amended and supplemented credit contracts, announcements </w:t>
      </w:r>
      <w:r w:rsidR="00FB1771" w:rsidRPr="00FB1771">
        <w:rPr>
          <w:rFonts w:ascii="Arial" w:hAnsi="Arial" w:cs="Arial"/>
          <w:color w:val="010000"/>
          <w:sz w:val="20"/>
        </w:rPr>
        <w:t xml:space="preserve">of </w:t>
      </w:r>
      <w:r w:rsidRPr="00FB1771">
        <w:rPr>
          <w:rFonts w:ascii="Arial" w:hAnsi="Arial" w:cs="Arial"/>
          <w:color w:val="010000"/>
          <w:sz w:val="20"/>
        </w:rPr>
        <w:t xml:space="preserve">contract terms, documents related to </w:t>
      </w:r>
      <w:r w:rsidR="00FB1771" w:rsidRPr="00FB1771">
        <w:rPr>
          <w:rFonts w:ascii="Arial" w:hAnsi="Arial" w:cs="Arial"/>
          <w:color w:val="010000"/>
          <w:sz w:val="20"/>
        </w:rPr>
        <w:t>the letter of credit</w:t>
      </w:r>
      <w:r w:rsidRPr="00FB1771">
        <w:rPr>
          <w:rFonts w:ascii="Arial" w:hAnsi="Arial" w:cs="Arial"/>
          <w:color w:val="010000"/>
          <w:sz w:val="20"/>
        </w:rPr>
        <w:t xml:space="preserve"> issuance, debt receipt, property-related contracts (including contracts mortgage, amended and supplemented documents and mortgage contracts, valuation records, asset handover records, applications for registration of secured transactions; mortgage deletion, change of mortgage registration information collateral etc. to the authorities) and other procedures according to the Bank's regulations.</w:t>
      </w:r>
    </w:p>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Article 6. During the credit relationship with Vietnam Joint Stock Commercial Bank for Industry and Trade-Hoi An Branch, the Company guarantees and commits:</w:t>
      </w:r>
    </w:p>
    <w:p w:rsidR="002D5D74" w:rsidRPr="00FB1771" w:rsidRDefault="001D1171" w:rsidP="00FB1771">
      <w:pPr>
        <w:numPr>
          <w:ilvl w:val="0"/>
          <w:numId w:val="4"/>
        </w:numPr>
        <w:pBdr>
          <w:top w:val="nil"/>
          <w:left w:val="nil"/>
          <w:bottom w:val="nil"/>
          <w:right w:val="nil"/>
          <w:between w:val="nil"/>
        </w:pBdr>
        <w:tabs>
          <w:tab w:val="left" w:pos="432"/>
          <w:tab w:val="left" w:pos="1056"/>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Acknowledgment of debt repayment obligations for credit amounts (loans, guarantees, etc.) </w:t>
      </w:r>
      <w:r w:rsidR="00FB1771" w:rsidRPr="00FB1771">
        <w:rPr>
          <w:rFonts w:ascii="Arial" w:hAnsi="Arial" w:cs="Arial"/>
          <w:color w:val="010000"/>
          <w:sz w:val="20"/>
        </w:rPr>
        <w:t>arising</w:t>
      </w:r>
      <w:r w:rsidRPr="00FB1771">
        <w:rPr>
          <w:rFonts w:ascii="Arial" w:hAnsi="Arial" w:cs="Arial"/>
          <w:color w:val="010000"/>
          <w:sz w:val="20"/>
        </w:rPr>
        <w:t xml:space="preserve"> and currently unpaid between the Company and Vietnam Joint Stock Commercial Bank for Industry and Trade-Hoi An Branch before the Meeting time whether such credits are approved, entered into properly or without authority.</w:t>
      </w:r>
    </w:p>
    <w:p w:rsidR="002D5D74" w:rsidRPr="00FB1771" w:rsidRDefault="001D1171" w:rsidP="00FB1771">
      <w:pPr>
        <w:numPr>
          <w:ilvl w:val="0"/>
          <w:numId w:val="4"/>
        </w:numPr>
        <w:pBdr>
          <w:top w:val="nil"/>
          <w:left w:val="nil"/>
          <w:bottom w:val="nil"/>
          <w:right w:val="nil"/>
          <w:between w:val="nil"/>
        </w:pBdr>
        <w:tabs>
          <w:tab w:val="left" w:pos="432"/>
          <w:tab w:val="left" w:pos="1056"/>
        </w:tabs>
        <w:spacing w:after="120" w:line="360" w:lineRule="auto"/>
        <w:rPr>
          <w:rFonts w:ascii="Arial" w:eastAsia="Arial" w:hAnsi="Arial" w:cs="Arial"/>
          <w:color w:val="010000"/>
          <w:sz w:val="20"/>
          <w:szCs w:val="20"/>
        </w:rPr>
      </w:pPr>
      <w:r w:rsidRPr="00FB1771">
        <w:rPr>
          <w:rFonts w:ascii="Arial" w:hAnsi="Arial" w:cs="Arial"/>
          <w:color w:val="010000"/>
          <w:sz w:val="20"/>
        </w:rPr>
        <w:t>It is approved that if the Company violates the payment obligation under the Credit granting contracts, the Bank is entitled to request and appropriate money from the Company's deposit account and payment account at any credit institution to pay debts at Vietnam Joint Stock Commercial Bank for Industry and Trade - Vinh Phuc Branch.</w:t>
      </w:r>
    </w:p>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 xml:space="preserve">Article 7. Members of the Board of Directors, </w:t>
      </w:r>
      <w:r w:rsidR="00FB1771" w:rsidRPr="00FB1771">
        <w:rPr>
          <w:rFonts w:ascii="Arial" w:hAnsi="Arial" w:cs="Arial"/>
          <w:color w:val="010000"/>
          <w:sz w:val="20"/>
        </w:rPr>
        <w:t xml:space="preserve">the </w:t>
      </w:r>
      <w:r w:rsidRPr="00FB1771">
        <w:rPr>
          <w:rFonts w:ascii="Arial" w:hAnsi="Arial" w:cs="Arial"/>
          <w:color w:val="010000"/>
          <w:sz w:val="20"/>
        </w:rPr>
        <w:t>General Manager and relevant individuals of MT Gas Joint Stock Company are responsible for implementing this resolution.</w:t>
      </w:r>
    </w:p>
    <w:p w:rsidR="002D5D74" w:rsidRPr="00FB1771" w:rsidRDefault="001D1171" w:rsidP="00FB177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1771">
        <w:rPr>
          <w:rFonts w:ascii="Arial" w:hAnsi="Arial" w:cs="Arial"/>
          <w:color w:val="010000"/>
          <w:sz w:val="20"/>
        </w:rPr>
        <w:t>Article 8. This Resolution takes effect from the date of its signing.</w:t>
      </w:r>
    </w:p>
    <w:sectPr w:rsidR="002D5D74" w:rsidRPr="00FB1771" w:rsidSect="009F6D9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C258E"/>
    <w:multiLevelType w:val="multilevel"/>
    <w:tmpl w:val="F4782C1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46719B1"/>
    <w:multiLevelType w:val="multilevel"/>
    <w:tmpl w:val="AF7A6F3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75C2BF2"/>
    <w:multiLevelType w:val="multilevel"/>
    <w:tmpl w:val="57C470C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BB62ACA"/>
    <w:multiLevelType w:val="multilevel"/>
    <w:tmpl w:val="86B086D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74"/>
    <w:rsid w:val="001D1171"/>
    <w:rsid w:val="002D5D74"/>
    <w:rsid w:val="009F6D93"/>
    <w:rsid w:val="00D51937"/>
    <w:rsid w:val="00FB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5D64E-1D76-4B54-A053-9535B822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line="259" w:lineRule="auto"/>
    </w:pPr>
    <w:rPr>
      <w:rFonts w:ascii="Times New Roman" w:eastAsia="Times New Roman" w:hAnsi="Times New Roman" w:cs="Times New Roman"/>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bxpcxaFqARm+i5YB3NISlxboA==">CgMxLjA4AHIhMVQ1Q216TWtJVnoxWGx2Mkx0Q3RQUkZVUHlPek5YMkM5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2024-07-02T03:22:00Z</dcterms:created>
  <dcterms:modified xsi:type="dcterms:W3CDTF">2024-07-02T03:22:00Z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df0a7dff2da646c721e180794afb2ce08b51a6c34f0c3d2535fad849cb5ee557</vt:lpwstr>
  </property>
</Properties>
</file>