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9056" w14:textId="77777777" w:rsidR="009D6347" w:rsidRDefault="00117CC5">
      <w:pPr>
        <w:keepNext/>
        <w:keepLines/>
        <w:tabs>
          <w:tab w:val="left" w:pos="441"/>
        </w:tabs>
        <w:spacing w:after="120" w:line="360" w:lineRule="auto"/>
        <w:rPr>
          <w:rFonts w:ascii="Arial" w:eastAsia="Arial" w:hAnsi="Arial" w:cs="Arial"/>
          <w:b/>
          <w:sz w:val="20"/>
          <w:szCs w:val="20"/>
        </w:rPr>
      </w:pPr>
      <w:bookmarkStart w:id="0" w:name="_GoBack"/>
      <w:bookmarkEnd w:id="0"/>
      <w:r>
        <w:rPr>
          <w:rFonts w:ascii="Arial" w:hAnsi="Arial"/>
          <w:b/>
          <w:sz w:val="20"/>
        </w:rPr>
        <w:t>PDV: Report on the progress of using capital/proceeds from the offering/issuance</w:t>
      </w:r>
    </w:p>
    <w:p w14:paraId="64A30AD5" w14:textId="77777777" w:rsidR="009D6347" w:rsidRDefault="00117CC5">
      <w:pPr>
        <w:keepNext/>
        <w:keepLines/>
        <w:tabs>
          <w:tab w:val="left" w:pos="441"/>
        </w:tabs>
        <w:spacing w:after="120" w:line="360" w:lineRule="auto"/>
        <w:rPr>
          <w:rFonts w:ascii="Arial" w:eastAsia="Arial" w:hAnsi="Arial" w:cs="Arial"/>
          <w:sz w:val="20"/>
          <w:szCs w:val="20"/>
        </w:rPr>
      </w:pPr>
      <w:r>
        <w:rPr>
          <w:rFonts w:ascii="Arial" w:hAnsi="Arial"/>
          <w:sz w:val="20"/>
        </w:rPr>
        <w:t>On June 27, 2024, Phuong Dong Viet Shipping and Logistics Corporation announced Notice No. 185/PDV-TCKT as follows:</w:t>
      </w:r>
    </w:p>
    <w:p w14:paraId="5DE3742E" w14:textId="19F3D6EB" w:rsidR="009D6347" w:rsidRPr="00117CC5" w:rsidRDefault="00117CC5" w:rsidP="00117CC5">
      <w:pPr>
        <w:pStyle w:val="ListParagraph"/>
        <w:keepNext/>
        <w:keepLines/>
        <w:numPr>
          <w:ilvl w:val="0"/>
          <w:numId w:val="3"/>
        </w:numPr>
        <w:pBdr>
          <w:top w:val="nil"/>
          <w:left w:val="nil"/>
          <w:bottom w:val="nil"/>
          <w:right w:val="nil"/>
          <w:between w:val="nil"/>
        </w:pBdr>
        <w:tabs>
          <w:tab w:val="left" w:pos="441"/>
        </w:tabs>
        <w:spacing w:after="120" w:line="360" w:lineRule="auto"/>
        <w:rPr>
          <w:rFonts w:ascii="Arial" w:eastAsia="Arial" w:hAnsi="Arial" w:cs="Arial"/>
          <w:sz w:val="20"/>
          <w:szCs w:val="20"/>
        </w:rPr>
      </w:pPr>
      <w:r w:rsidRPr="00117CC5">
        <w:rPr>
          <w:rFonts w:ascii="Arial" w:hAnsi="Arial"/>
          <w:sz w:val="20"/>
        </w:rPr>
        <w:t>Issued securities</w:t>
      </w:r>
    </w:p>
    <w:p w14:paraId="79ECEAA4" w14:textId="77777777" w:rsidR="009D6347" w:rsidRDefault="00117CC5">
      <w:pPr>
        <w:numPr>
          <w:ilvl w:val="0"/>
          <w:numId w:val="1"/>
        </w:numPr>
        <w:pBdr>
          <w:top w:val="nil"/>
          <w:left w:val="nil"/>
          <w:bottom w:val="nil"/>
          <w:right w:val="nil"/>
          <w:between w:val="nil"/>
        </w:pBdr>
        <w:tabs>
          <w:tab w:val="left" w:pos="337"/>
        </w:tabs>
        <w:spacing w:after="120" w:line="360" w:lineRule="auto"/>
        <w:rPr>
          <w:rFonts w:ascii="Arial" w:eastAsia="Arial" w:hAnsi="Arial" w:cs="Arial"/>
          <w:sz w:val="20"/>
          <w:szCs w:val="20"/>
        </w:rPr>
      </w:pPr>
      <w:r>
        <w:rPr>
          <w:rFonts w:ascii="Arial" w:hAnsi="Arial"/>
          <w:sz w:val="20"/>
        </w:rPr>
        <w:t>Securities name: Shares of Phuong Dong Viet Shipping and Logistics Corporation</w:t>
      </w:r>
    </w:p>
    <w:p w14:paraId="10F27EEE" w14:textId="77777777" w:rsidR="009D6347" w:rsidRDefault="00117CC5">
      <w:pPr>
        <w:numPr>
          <w:ilvl w:val="0"/>
          <w:numId w:val="1"/>
        </w:numPr>
        <w:pBdr>
          <w:top w:val="nil"/>
          <w:left w:val="nil"/>
          <w:bottom w:val="nil"/>
          <w:right w:val="nil"/>
          <w:between w:val="nil"/>
        </w:pBdr>
        <w:tabs>
          <w:tab w:val="left" w:pos="366"/>
        </w:tabs>
        <w:spacing w:after="120" w:line="360" w:lineRule="auto"/>
        <w:rPr>
          <w:rFonts w:ascii="Arial" w:eastAsia="Arial" w:hAnsi="Arial" w:cs="Arial"/>
          <w:sz w:val="20"/>
          <w:szCs w:val="20"/>
        </w:rPr>
      </w:pPr>
      <w:r>
        <w:rPr>
          <w:rFonts w:ascii="Arial" w:hAnsi="Arial"/>
          <w:sz w:val="20"/>
        </w:rPr>
        <w:t>Securities type: Common shares</w:t>
      </w:r>
    </w:p>
    <w:p w14:paraId="41FC32EC" w14:textId="77777777" w:rsidR="009D6347" w:rsidRDefault="00117CC5">
      <w:pPr>
        <w:numPr>
          <w:ilvl w:val="0"/>
          <w:numId w:val="1"/>
        </w:numPr>
        <w:pBdr>
          <w:top w:val="nil"/>
          <w:left w:val="nil"/>
          <w:bottom w:val="nil"/>
          <w:right w:val="nil"/>
          <w:between w:val="nil"/>
        </w:pBdr>
        <w:tabs>
          <w:tab w:val="left" w:pos="366"/>
        </w:tabs>
        <w:spacing w:after="120" w:line="360" w:lineRule="auto"/>
        <w:rPr>
          <w:rFonts w:ascii="Arial" w:eastAsia="Arial" w:hAnsi="Arial" w:cs="Arial"/>
          <w:sz w:val="20"/>
          <w:szCs w:val="20"/>
        </w:rPr>
      </w:pPr>
      <w:r>
        <w:rPr>
          <w:rFonts w:ascii="Arial" w:hAnsi="Arial"/>
          <w:sz w:val="20"/>
        </w:rPr>
        <w:t>Par value: VND10,000/share</w:t>
      </w:r>
    </w:p>
    <w:p w14:paraId="033A6600" w14:textId="77777777" w:rsidR="009D6347" w:rsidRDefault="00117CC5">
      <w:pPr>
        <w:numPr>
          <w:ilvl w:val="0"/>
          <w:numId w:val="1"/>
        </w:numPr>
        <w:pBdr>
          <w:top w:val="nil"/>
          <w:left w:val="nil"/>
          <w:bottom w:val="nil"/>
          <w:right w:val="nil"/>
          <w:between w:val="nil"/>
        </w:pBdr>
        <w:tabs>
          <w:tab w:val="left" w:pos="366"/>
        </w:tabs>
        <w:spacing w:after="120" w:line="360" w:lineRule="auto"/>
        <w:rPr>
          <w:rFonts w:ascii="Arial" w:eastAsia="Arial" w:hAnsi="Arial" w:cs="Arial"/>
          <w:sz w:val="20"/>
          <w:szCs w:val="20"/>
        </w:rPr>
      </w:pPr>
      <w:r>
        <w:rPr>
          <w:rFonts w:ascii="Arial" w:hAnsi="Arial"/>
          <w:sz w:val="20"/>
        </w:rPr>
        <w:t>Number of issued securities: 11,977,345 shares</w:t>
      </w:r>
    </w:p>
    <w:p w14:paraId="7267AE71" w14:textId="77777777" w:rsidR="009D6347" w:rsidRDefault="00117CC5">
      <w:pPr>
        <w:numPr>
          <w:ilvl w:val="0"/>
          <w:numId w:val="1"/>
        </w:numPr>
        <w:pBdr>
          <w:top w:val="nil"/>
          <w:left w:val="nil"/>
          <w:bottom w:val="nil"/>
          <w:right w:val="nil"/>
          <w:between w:val="nil"/>
        </w:pBdr>
        <w:tabs>
          <w:tab w:val="left" w:pos="373"/>
        </w:tabs>
        <w:spacing w:after="120" w:line="360" w:lineRule="auto"/>
        <w:rPr>
          <w:rFonts w:ascii="Arial" w:eastAsia="Arial" w:hAnsi="Arial" w:cs="Arial"/>
          <w:sz w:val="20"/>
          <w:szCs w:val="20"/>
        </w:rPr>
      </w:pPr>
      <w:r>
        <w:rPr>
          <w:rFonts w:ascii="Arial" w:hAnsi="Arial"/>
          <w:sz w:val="20"/>
        </w:rPr>
        <w:t>Total capital/amount mobilized: VND119,773,450,000, in which, the capital/amount mobilized for the project: VND119,773,450,000.</w:t>
      </w:r>
    </w:p>
    <w:p w14:paraId="0E9C17D9" w14:textId="77777777" w:rsidR="009D6347" w:rsidRDefault="00117CC5">
      <w:pPr>
        <w:numPr>
          <w:ilvl w:val="0"/>
          <w:numId w:val="1"/>
        </w:numPr>
        <w:pBdr>
          <w:top w:val="nil"/>
          <w:left w:val="nil"/>
          <w:bottom w:val="nil"/>
          <w:right w:val="nil"/>
          <w:between w:val="nil"/>
        </w:pBdr>
        <w:tabs>
          <w:tab w:val="left" w:pos="366"/>
        </w:tabs>
        <w:spacing w:after="120" w:line="360" w:lineRule="auto"/>
        <w:rPr>
          <w:rFonts w:ascii="Arial" w:eastAsia="Arial" w:hAnsi="Arial" w:cs="Arial"/>
          <w:sz w:val="20"/>
          <w:szCs w:val="20"/>
        </w:rPr>
      </w:pPr>
      <w:r>
        <w:rPr>
          <w:rFonts w:ascii="Arial" w:hAnsi="Arial"/>
          <w:sz w:val="20"/>
        </w:rPr>
        <w:t>Completion date of the offering/issuance: October 19, 2023</w:t>
      </w:r>
    </w:p>
    <w:p w14:paraId="154B8E84" w14:textId="77777777" w:rsidR="009D6347" w:rsidRDefault="00117CC5" w:rsidP="00117CC5">
      <w:pPr>
        <w:pStyle w:val="ListParagraph"/>
        <w:keepNext/>
        <w:keepLines/>
        <w:numPr>
          <w:ilvl w:val="0"/>
          <w:numId w:val="3"/>
        </w:numPr>
        <w:pBdr>
          <w:top w:val="nil"/>
          <w:left w:val="nil"/>
          <w:bottom w:val="nil"/>
          <w:right w:val="nil"/>
          <w:between w:val="nil"/>
        </w:pBdr>
        <w:tabs>
          <w:tab w:val="left" w:pos="441"/>
        </w:tabs>
        <w:spacing w:after="120" w:line="360" w:lineRule="auto"/>
        <w:rPr>
          <w:rFonts w:ascii="Arial" w:eastAsia="Arial" w:hAnsi="Arial" w:cs="Arial"/>
          <w:sz w:val="20"/>
          <w:szCs w:val="20"/>
        </w:rPr>
      </w:pPr>
      <w:r>
        <w:rPr>
          <w:rFonts w:ascii="Arial" w:hAnsi="Arial"/>
          <w:sz w:val="20"/>
        </w:rPr>
        <w:t xml:space="preserve"> Plan on using the capital/proceeds from the offering/issuance</w:t>
      </w:r>
    </w:p>
    <w:p w14:paraId="0EA717A7" w14:textId="77777777" w:rsidR="009D6347" w:rsidRDefault="00117CC5">
      <w:pPr>
        <w:numPr>
          <w:ilvl w:val="0"/>
          <w:numId w:val="2"/>
        </w:numPr>
        <w:pBdr>
          <w:top w:val="nil"/>
          <w:left w:val="nil"/>
          <w:bottom w:val="nil"/>
          <w:right w:val="nil"/>
          <w:between w:val="nil"/>
        </w:pBdr>
        <w:tabs>
          <w:tab w:val="left" w:pos="340"/>
        </w:tabs>
        <w:spacing w:after="120" w:line="360" w:lineRule="auto"/>
        <w:rPr>
          <w:rFonts w:ascii="Arial" w:eastAsia="Arial" w:hAnsi="Arial" w:cs="Arial"/>
          <w:sz w:val="20"/>
          <w:szCs w:val="20"/>
        </w:rPr>
      </w:pPr>
      <w:r>
        <w:rPr>
          <w:rFonts w:ascii="Arial" w:hAnsi="Arial"/>
          <w:sz w:val="20"/>
        </w:rPr>
        <w:t>Progress of project according to the announced plan: Additional capital to purchase 01 oil/chemical tanker of about 19,000 - 25,000 DWT in 2023.</w:t>
      </w:r>
    </w:p>
    <w:p w14:paraId="3B430FE6" w14:textId="77777777" w:rsidR="009D6347" w:rsidRDefault="00117CC5">
      <w:pPr>
        <w:numPr>
          <w:ilvl w:val="0"/>
          <w:numId w:val="2"/>
        </w:numPr>
        <w:pBdr>
          <w:top w:val="nil"/>
          <w:left w:val="nil"/>
          <w:bottom w:val="nil"/>
          <w:right w:val="nil"/>
          <w:between w:val="nil"/>
        </w:pBdr>
        <w:tabs>
          <w:tab w:val="left" w:pos="351"/>
        </w:tabs>
        <w:spacing w:after="120" w:line="360" w:lineRule="auto"/>
        <w:rPr>
          <w:rFonts w:ascii="Arial" w:eastAsia="Arial" w:hAnsi="Arial" w:cs="Arial"/>
          <w:sz w:val="20"/>
          <w:szCs w:val="20"/>
        </w:rPr>
      </w:pPr>
      <w:r>
        <w:rPr>
          <w:rFonts w:ascii="Arial" w:hAnsi="Arial"/>
          <w:sz w:val="20"/>
        </w:rPr>
        <w:t>Current project progress: To ensure investment progress approved by the General Meeting of Shareholders, the Board of Directors and take advantage of the tanker buying and selling market at a time when the selling prices of tanker are low. In May 2023, the Company used the Company's capital and loan capital to invest in purchasing 01 oil/chemical tanker with a tonnage of about 19,000 - 25,000 DWT (PVT Jupiter tanker) with a total value of: VND432,567,807,700 to serve the Company's main business activities.</w:t>
      </w:r>
    </w:p>
    <w:tbl>
      <w:tblPr>
        <w:tblStyle w:val="a"/>
        <w:tblW w:w="9016" w:type="dxa"/>
        <w:tblLayout w:type="fixed"/>
        <w:tblLook w:val="0400" w:firstRow="0" w:lastRow="0" w:firstColumn="0" w:lastColumn="0" w:noHBand="0" w:noVBand="1"/>
      </w:tblPr>
      <w:tblGrid>
        <w:gridCol w:w="685"/>
        <w:gridCol w:w="3127"/>
        <w:gridCol w:w="2451"/>
        <w:gridCol w:w="2753"/>
      </w:tblGrid>
      <w:tr w:rsidR="009D6347" w14:paraId="762D68CE" w14:textId="77777777">
        <w:trPr>
          <w:trHeight w:val="623"/>
        </w:trPr>
        <w:tc>
          <w:tcPr>
            <w:tcW w:w="685" w:type="dxa"/>
            <w:tcBorders>
              <w:top w:val="single" w:sz="4" w:space="0" w:color="000000"/>
              <w:left w:val="single" w:sz="4" w:space="0" w:color="000000"/>
            </w:tcBorders>
            <w:shd w:val="clear" w:color="auto" w:fill="FFFFFF"/>
            <w:tcMar>
              <w:top w:w="0" w:type="dxa"/>
              <w:bottom w:w="0" w:type="dxa"/>
            </w:tcMar>
            <w:vAlign w:val="center"/>
          </w:tcPr>
          <w:p w14:paraId="16C5C72B"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3127" w:type="dxa"/>
            <w:tcBorders>
              <w:top w:val="single" w:sz="4" w:space="0" w:color="000000"/>
              <w:left w:val="single" w:sz="4" w:space="0" w:color="000000"/>
            </w:tcBorders>
            <w:shd w:val="clear" w:color="auto" w:fill="FFFFFF"/>
            <w:tcMar>
              <w:top w:w="0" w:type="dxa"/>
              <w:bottom w:w="0" w:type="dxa"/>
            </w:tcMar>
            <w:vAlign w:val="center"/>
          </w:tcPr>
          <w:p w14:paraId="3C768394"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Capital resource</w:t>
            </w:r>
          </w:p>
        </w:tc>
        <w:tc>
          <w:tcPr>
            <w:tcW w:w="2451" w:type="dxa"/>
            <w:tcBorders>
              <w:top w:val="single" w:sz="4" w:space="0" w:color="000000"/>
              <w:left w:val="single" w:sz="4" w:space="0" w:color="000000"/>
            </w:tcBorders>
            <w:shd w:val="clear" w:color="auto" w:fill="FFFFFF"/>
            <w:tcMar>
              <w:top w:w="0" w:type="dxa"/>
              <w:bottom w:w="0" w:type="dxa"/>
            </w:tcMar>
            <w:vAlign w:val="bottom"/>
          </w:tcPr>
          <w:p w14:paraId="29A29F21"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Amount (VND)</w:t>
            </w:r>
          </w:p>
        </w:tc>
        <w:tc>
          <w:tcPr>
            <w:tcW w:w="275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EBF9113"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Equivalent (USD)</w:t>
            </w:r>
          </w:p>
        </w:tc>
      </w:tr>
      <w:tr w:rsidR="009D6347" w14:paraId="24730FDD" w14:textId="77777777">
        <w:trPr>
          <w:trHeight w:val="511"/>
        </w:trPr>
        <w:tc>
          <w:tcPr>
            <w:tcW w:w="685" w:type="dxa"/>
            <w:tcBorders>
              <w:top w:val="single" w:sz="4" w:space="0" w:color="000000"/>
              <w:left w:val="single" w:sz="4" w:space="0" w:color="000000"/>
            </w:tcBorders>
            <w:shd w:val="clear" w:color="auto" w:fill="FFFFFF"/>
            <w:tcMar>
              <w:top w:w="0" w:type="dxa"/>
              <w:bottom w:w="0" w:type="dxa"/>
            </w:tcMar>
            <w:vAlign w:val="center"/>
          </w:tcPr>
          <w:p w14:paraId="471A9E0C"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3127" w:type="dxa"/>
            <w:tcBorders>
              <w:top w:val="single" w:sz="4" w:space="0" w:color="000000"/>
              <w:left w:val="single" w:sz="4" w:space="0" w:color="000000"/>
            </w:tcBorders>
            <w:shd w:val="clear" w:color="auto" w:fill="FFFFFF"/>
            <w:tcMar>
              <w:top w:w="0" w:type="dxa"/>
              <w:bottom w:w="0" w:type="dxa"/>
            </w:tcMar>
            <w:vAlign w:val="center"/>
          </w:tcPr>
          <w:p w14:paraId="632E0BE6"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Owners’ equity for temporary use</w:t>
            </w:r>
          </w:p>
        </w:tc>
        <w:tc>
          <w:tcPr>
            <w:tcW w:w="2451" w:type="dxa"/>
            <w:tcBorders>
              <w:top w:val="single" w:sz="4" w:space="0" w:color="000000"/>
              <w:left w:val="single" w:sz="4" w:space="0" w:color="000000"/>
            </w:tcBorders>
            <w:shd w:val="clear" w:color="auto" w:fill="FFFFFF"/>
            <w:tcMar>
              <w:top w:w="0" w:type="dxa"/>
              <w:bottom w:w="0" w:type="dxa"/>
            </w:tcMar>
            <w:vAlign w:val="center"/>
          </w:tcPr>
          <w:p w14:paraId="788B52B7" w14:textId="77777777" w:rsidR="009D6347" w:rsidRDefault="00117CC5">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133,394,387,700</w:t>
            </w:r>
          </w:p>
        </w:tc>
        <w:tc>
          <w:tcPr>
            <w:tcW w:w="275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3F1205B"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5,537,220</w:t>
            </w:r>
          </w:p>
        </w:tc>
      </w:tr>
      <w:tr w:rsidR="009D6347" w14:paraId="683F8E1A" w14:textId="77777777">
        <w:trPr>
          <w:trHeight w:val="446"/>
        </w:trPr>
        <w:tc>
          <w:tcPr>
            <w:tcW w:w="685" w:type="dxa"/>
            <w:tcBorders>
              <w:top w:val="single" w:sz="4" w:space="0" w:color="000000"/>
              <w:left w:val="single" w:sz="4" w:space="0" w:color="000000"/>
            </w:tcBorders>
            <w:shd w:val="clear" w:color="auto" w:fill="FFFFFF"/>
            <w:tcMar>
              <w:top w:w="0" w:type="dxa"/>
              <w:bottom w:w="0" w:type="dxa"/>
            </w:tcMar>
            <w:vAlign w:val="bottom"/>
          </w:tcPr>
          <w:p w14:paraId="6D344BBA"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3127" w:type="dxa"/>
            <w:tcBorders>
              <w:top w:val="single" w:sz="4" w:space="0" w:color="000000"/>
              <w:left w:val="single" w:sz="4" w:space="0" w:color="000000"/>
            </w:tcBorders>
            <w:shd w:val="clear" w:color="auto" w:fill="FFFFFF"/>
            <w:tcMar>
              <w:top w:w="0" w:type="dxa"/>
              <w:bottom w:w="0" w:type="dxa"/>
            </w:tcMar>
            <w:vAlign w:val="bottom"/>
          </w:tcPr>
          <w:p w14:paraId="0A4A127D"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Loan capital</w:t>
            </w:r>
          </w:p>
        </w:tc>
        <w:tc>
          <w:tcPr>
            <w:tcW w:w="2451" w:type="dxa"/>
            <w:tcBorders>
              <w:top w:val="single" w:sz="4" w:space="0" w:color="000000"/>
              <w:left w:val="single" w:sz="4" w:space="0" w:color="000000"/>
            </w:tcBorders>
            <w:shd w:val="clear" w:color="auto" w:fill="FFFFFF"/>
            <w:tcMar>
              <w:top w:w="0" w:type="dxa"/>
              <w:bottom w:w="0" w:type="dxa"/>
            </w:tcMar>
            <w:vAlign w:val="bottom"/>
          </w:tcPr>
          <w:p w14:paraId="56B3F8E3" w14:textId="77777777" w:rsidR="009D6347" w:rsidRDefault="00117CC5">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299,173,420,000</w:t>
            </w:r>
          </w:p>
        </w:tc>
        <w:tc>
          <w:tcPr>
            <w:tcW w:w="275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15FEE23"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12,740,000</w:t>
            </w:r>
          </w:p>
        </w:tc>
      </w:tr>
      <w:tr w:rsidR="009D6347" w14:paraId="4D01A507" w14:textId="77777777">
        <w:trPr>
          <w:trHeight w:val="418"/>
        </w:trPr>
        <w:tc>
          <w:tcPr>
            <w:tcW w:w="685" w:type="dxa"/>
            <w:tcBorders>
              <w:top w:val="single" w:sz="4" w:space="0" w:color="000000"/>
              <w:left w:val="single" w:sz="4" w:space="0" w:color="000000"/>
              <w:bottom w:val="single" w:sz="4" w:space="0" w:color="000000"/>
            </w:tcBorders>
            <w:shd w:val="clear" w:color="auto" w:fill="FFFFFF"/>
            <w:tcMar>
              <w:top w:w="0" w:type="dxa"/>
              <w:bottom w:w="0" w:type="dxa"/>
            </w:tcMar>
          </w:tcPr>
          <w:p w14:paraId="693B7008" w14:textId="77777777" w:rsidR="009D6347" w:rsidRDefault="009D6347">
            <w:pPr>
              <w:spacing w:after="120" w:line="360" w:lineRule="auto"/>
              <w:rPr>
                <w:rFonts w:ascii="Arial" w:eastAsia="Arial" w:hAnsi="Arial" w:cs="Arial"/>
                <w:sz w:val="20"/>
                <w:szCs w:val="20"/>
              </w:rPr>
            </w:pPr>
          </w:p>
        </w:tc>
        <w:tc>
          <w:tcPr>
            <w:tcW w:w="3127"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2845D506"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2451"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A0A1329" w14:textId="77777777" w:rsidR="009D6347" w:rsidRDefault="00117CC5">
            <w:pPr>
              <w:pBdr>
                <w:top w:val="nil"/>
                <w:left w:val="nil"/>
                <w:bottom w:val="nil"/>
                <w:right w:val="nil"/>
                <w:between w:val="nil"/>
              </w:pBdr>
              <w:spacing w:after="120" w:line="360" w:lineRule="auto"/>
              <w:ind w:firstLine="360"/>
              <w:rPr>
                <w:rFonts w:ascii="Arial" w:eastAsia="Arial" w:hAnsi="Arial" w:cs="Arial"/>
                <w:sz w:val="20"/>
                <w:szCs w:val="20"/>
              </w:rPr>
            </w:pPr>
            <w:r>
              <w:rPr>
                <w:rFonts w:ascii="Arial" w:hAnsi="Arial"/>
                <w:sz w:val="20"/>
              </w:rPr>
              <w:t>432,567,807,700</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0F8DC66B" w14:textId="77777777" w:rsidR="009D6347" w:rsidRDefault="00117CC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18,277,220</w:t>
            </w:r>
          </w:p>
        </w:tc>
      </w:tr>
    </w:tbl>
    <w:p w14:paraId="5324D32F" w14:textId="77777777" w:rsidR="009D6347" w:rsidRDefault="00117CC5">
      <w:pPr>
        <w:pBdr>
          <w:top w:val="nil"/>
          <w:left w:val="nil"/>
          <w:bottom w:val="nil"/>
          <w:right w:val="nil"/>
          <w:between w:val="nil"/>
        </w:pBdr>
        <w:tabs>
          <w:tab w:val="left" w:pos="9360"/>
        </w:tabs>
        <w:spacing w:after="120" w:line="360" w:lineRule="auto"/>
        <w:rPr>
          <w:rFonts w:ascii="Arial" w:eastAsia="Arial" w:hAnsi="Arial" w:cs="Arial"/>
          <w:sz w:val="20"/>
          <w:szCs w:val="20"/>
        </w:rPr>
      </w:pPr>
      <w:r>
        <w:rPr>
          <w:rFonts w:ascii="Arial" w:hAnsi="Arial"/>
          <w:sz w:val="20"/>
        </w:rPr>
        <w:t xml:space="preserve"> Based on General Mandate 01/NQ-PDV-DHDCD dated April 24, 2024 on adjusting the plan on using capital of the offering of 11,977,345 additional shares, the entire amount received from the offering is VND119,773,450,000 was used to offset capital to purchase 01 oil/chemical tanker with a tonnage of about 19,000 - 25,000 DWT (PVT Jupiter tanker) mentioned above.</w:t>
      </w:r>
    </w:p>
    <w:p w14:paraId="46C6A384" w14:textId="77777777" w:rsidR="009D6347" w:rsidRDefault="00117CC5">
      <w:pPr>
        <w:numPr>
          <w:ilvl w:val="0"/>
          <w:numId w:val="2"/>
        </w:numPr>
        <w:pBdr>
          <w:top w:val="nil"/>
          <w:left w:val="nil"/>
          <w:bottom w:val="nil"/>
          <w:right w:val="nil"/>
          <w:between w:val="nil"/>
        </w:pBdr>
        <w:tabs>
          <w:tab w:val="left" w:pos="351"/>
        </w:tabs>
        <w:spacing w:after="120" w:line="360" w:lineRule="auto"/>
        <w:rPr>
          <w:rFonts w:ascii="Arial" w:eastAsia="Arial" w:hAnsi="Arial" w:cs="Arial"/>
          <w:sz w:val="20"/>
          <w:szCs w:val="20"/>
        </w:rPr>
      </w:pPr>
      <w:r>
        <w:rPr>
          <w:rFonts w:ascii="Arial" w:hAnsi="Arial"/>
          <w:sz w:val="20"/>
        </w:rPr>
        <w:t>Changes (if any): None</w:t>
      </w:r>
    </w:p>
    <w:p w14:paraId="4D7BD8F1" w14:textId="77777777" w:rsidR="009D6347" w:rsidRDefault="00117CC5">
      <w:pPr>
        <w:numPr>
          <w:ilvl w:val="0"/>
          <w:numId w:val="2"/>
        </w:numPr>
        <w:pBdr>
          <w:top w:val="nil"/>
          <w:left w:val="nil"/>
          <w:bottom w:val="nil"/>
          <w:right w:val="nil"/>
          <w:between w:val="nil"/>
        </w:pBdr>
        <w:tabs>
          <w:tab w:val="left" w:pos="351"/>
        </w:tabs>
        <w:spacing w:after="120" w:line="360" w:lineRule="auto"/>
        <w:rPr>
          <w:rFonts w:ascii="Arial" w:eastAsia="Arial" w:hAnsi="Arial" w:cs="Arial"/>
          <w:sz w:val="20"/>
          <w:szCs w:val="20"/>
        </w:rPr>
      </w:pPr>
      <w:r>
        <w:rPr>
          <w:rFonts w:ascii="Arial" w:hAnsi="Arial"/>
          <w:sz w:val="20"/>
        </w:rPr>
        <w:t>Reason for change (if any): None</w:t>
      </w:r>
    </w:p>
    <w:sectPr w:rsidR="009D6347">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82B79"/>
    <w:multiLevelType w:val="hybridMultilevel"/>
    <w:tmpl w:val="466622A2"/>
    <w:lvl w:ilvl="0" w:tplc="AED6C530">
      <w:start w:val="1"/>
      <w:numFmt w:val="upperRoman"/>
      <w:lvlText w:val="%1."/>
      <w:lvlJc w:val="left"/>
      <w:pPr>
        <w:ind w:left="780" w:hanging="720"/>
      </w:pPr>
      <w:rPr>
        <w:rFonts w:eastAsia="Courier New" w:cs="Courier New"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A1C68A2"/>
    <w:multiLevelType w:val="multilevel"/>
    <w:tmpl w:val="A2005E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4E70CA8"/>
    <w:multiLevelType w:val="multilevel"/>
    <w:tmpl w:val="6CCC57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47"/>
    <w:rsid w:val="00117CC5"/>
    <w:rsid w:val="00543E62"/>
    <w:rsid w:val="009D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770B"/>
  <w15:docId w15:val="{4212E632-210C-42D5-9885-D08794B3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E76A6B"/>
      <w:sz w:val="26"/>
      <w:szCs w:val="26"/>
      <w:u w:val="none"/>
      <w:shd w:val="clear" w:color="auto" w:fill="auto"/>
    </w:rPr>
  </w:style>
  <w:style w:type="paragraph" w:styleId="BodyText">
    <w:name w:val="Body Text"/>
    <w:basedOn w:val="Normal"/>
    <w:link w:val="BodyTextChar"/>
    <w:qFormat/>
    <w:pPr>
      <w:spacing w:line="286" w:lineRule="auto"/>
    </w:pPr>
    <w:rPr>
      <w:rFonts w:ascii="Times New Roman" w:eastAsia="Times New Roman" w:hAnsi="Times New Roman" w:cs="Times New Roman"/>
    </w:rPr>
  </w:style>
  <w:style w:type="paragraph" w:customStyle="1" w:styleId="Heading11">
    <w:name w:val="Heading #1"/>
    <w:basedOn w:val="Normal"/>
    <w:link w:val="Heading10"/>
    <w:pPr>
      <w:spacing w:line="259" w:lineRule="auto"/>
      <w:outlineLvl w:val="0"/>
    </w:pPr>
    <w:rPr>
      <w:rFonts w:ascii="Times New Roman" w:eastAsia="Times New Roman" w:hAnsi="Times New Roman" w:cs="Times New Roman"/>
      <w:b/>
      <w:bCs/>
    </w:rPr>
  </w:style>
  <w:style w:type="paragraph" w:customStyle="1" w:styleId="Other0">
    <w:name w:val="Other"/>
    <w:basedOn w:val="Normal"/>
    <w:link w:val="Other"/>
    <w:pPr>
      <w:spacing w:line="286" w:lineRule="auto"/>
    </w:pPr>
    <w:rPr>
      <w:rFonts w:ascii="Times New Roman" w:eastAsia="Times New Roman" w:hAnsi="Times New Roman" w:cs="Times New Roman"/>
    </w:rPr>
  </w:style>
  <w:style w:type="paragraph" w:customStyle="1" w:styleId="Bodytext20">
    <w:name w:val="Body text (2)"/>
    <w:basedOn w:val="Normal"/>
    <w:link w:val="Bodytext2"/>
    <w:pPr>
      <w:spacing w:line="187" w:lineRule="auto"/>
      <w:jc w:val="right"/>
    </w:pPr>
    <w:rPr>
      <w:rFonts w:ascii="Arial" w:eastAsia="Arial" w:hAnsi="Arial" w:cs="Arial"/>
      <w:color w:val="E76A6B"/>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11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tn+PYhC+RKxqhgjsf1J2d6GTgw==">CgMxLjA4AHIhMWRwZU5RdUNPRVAzVHNZdEppeUJDcUp0bDJma3lhNnhS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2024-07-02T03:29:00Z</dcterms:created>
  <dcterms:modified xsi:type="dcterms:W3CDTF">2024-07-02T03:29:00Z</dcterms:modified>
</cp:coreProperties>
</file>