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82" w:rsidRDefault="0018446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color w:val="010000"/>
          <w:sz w:val="20"/>
        </w:rPr>
        <w:t>PTE: Annual General Mandate 2024</w:t>
      </w:r>
    </w:p>
    <w:p w:rsidR="004D5A82" w:rsidRDefault="0018446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10000"/>
          <w:sz w:val="20"/>
        </w:rPr>
        <w:t>On June 26, 2024, Phu Tho Cement JSC announced General Mandate No. 01/2024/NQ-DHDCD as follows:</w:t>
      </w:r>
    </w:p>
    <w:p w:rsidR="004D5A82" w:rsidRDefault="001844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Article 1:  </w:t>
      </w:r>
      <w:r>
        <w:rPr>
          <w:rFonts w:ascii="Arial" w:hAnsi="Arial"/>
          <w:sz w:val="20"/>
        </w:rPr>
        <w:t>Issues voted on at the Meeting:</w:t>
      </w:r>
    </w:p>
    <w:p w:rsidR="004D5A82" w:rsidRDefault="001844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Annual General Meeting of Shareholders 2024 agreed and voted to approve the Reports and Proposals presented at the Meeting, specifically as follows:</w:t>
      </w:r>
    </w:p>
    <w:p w:rsidR="004D5A82" w:rsidRDefault="00184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21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Agree to approve the Report on activities of the Board of Directors.</w:t>
      </w:r>
    </w:p>
    <w:p w:rsidR="004D5A82" w:rsidRDefault="001844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71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Board of Directors plans that in 2024 the Company will both produce and buy clinker to produce cement.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Continue to seek investment cooperation, joint ventures, and associations with domestic and foreign organizations and individuals to maintain stable </w:t>
      </w:r>
      <w:r>
        <w:rPr>
          <w:rFonts w:ascii="Arial" w:hAnsi="Arial"/>
          <w:sz w:val="20"/>
        </w:rPr>
        <w:t>production and develop the Company.</w:t>
      </w:r>
    </w:p>
    <w:p w:rsidR="004D5A82" w:rsidRDefault="001844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136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Agree to approve the Report on production and business activities 2023 and the production and business plan 2024.</w:t>
      </w:r>
    </w:p>
    <w:p w:rsidR="004D5A82" w:rsidRDefault="0018446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228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Production and business results in 2023 with certain main targets as follows:</w:t>
      </w:r>
    </w:p>
    <w:tbl>
      <w:tblPr>
        <w:tblStyle w:val="a"/>
        <w:tblW w:w="9016" w:type="dxa"/>
        <w:tblLayout w:type="fixed"/>
        <w:tblLook w:val="0000" w:firstRow="0" w:lastRow="0" w:firstColumn="0" w:lastColumn="0" w:noHBand="0" w:noVBand="0"/>
      </w:tblPr>
      <w:tblGrid>
        <w:gridCol w:w="621"/>
        <w:gridCol w:w="2097"/>
        <w:gridCol w:w="860"/>
        <w:gridCol w:w="1095"/>
        <w:gridCol w:w="1095"/>
        <w:gridCol w:w="1095"/>
        <w:gridCol w:w="1062"/>
        <w:gridCol w:w="1091"/>
      </w:tblGrid>
      <w:tr w:rsidR="004D5A82">
        <w:trPr>
          <w:trHeight w:val="380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Targets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Unit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Results 2022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Plan 2023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Results 2023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Comparison</w:t>
            </w:r>
          </w:p>
        </w:tc>
      </w:tr>
      <w:tr w:rsidR="004D5A82">
        <w:trPr>
          <w:trHeight w:val="1089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D5A82" w:rsidRDefault="004D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D5A82" w:rsidRDefault="004D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D5A82" w:rsidRDefault="004D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4D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4D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4D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Same period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Year plan</w:t>
            </w:r>
          </w:p>
        </w:tc>
      </w:tr>
      <w:tr w:rsidR="004D5A82">
        <w:trPr>
          <w:trHeight w:val="40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4D5A82">
            <w:pP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4D5A82">
            <w:pP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4D5A82">
            <w:pP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(1)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(2)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(3)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(4)=3/l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(5)=3/2</w:t>
            </w:r>
          </w:p>
        </w:tc>
      </w:tr>
      <w:tr w:rsidR="004D5A82">
        <w:trPr>
          <w:trHeight w:val="36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Produce clinker + buy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Tons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167,675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155,000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110,846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66.11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71.51</w:t>
            </w:r>
          </w:p>
        </w:tc>
      </w:tr>
      <w:tr w:rsidR="004D5A82">
        <w:trPr>
          <w:trHeight w:val="36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Clinker production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Tons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167,675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155,000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88,000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52.48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56.77</w:t>
            </w:r>
          </w:p>
        </w:tc>
      </w:tr>
      <w:tr w:rsidR="004D5A82">
        <w:trPr>
          <w:trHeight w:val="36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Clinker purchase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Tons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4D5A82">
            <w:pP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4D5A82">
            <w:pP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22,846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4D5A82">
            <w:pP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4D5A82">
            <w:pP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5A82">
        <w:trPr>
          <w:trHeight w:val="37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Cement production of all kinds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Tons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269,741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187,871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69.65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75.15</w:t>
            </w:r>
          </w:p>
        </w:tc>
      </w:tr>
      <w:tr w:rsidR="004D5A82">
        <w:trPr>
          <w:trHeight w:val="36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3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Cement consumption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Tons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272,598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190,824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70.00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76.33</w:t>
            </w:r>
          </w:p>
        </w:tc>
      </w:tr>
      <w:tr w:rsidR="004D5A82">
        <w:trPr>
          <w:trHeight w:val="36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Revenue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Billion VND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271.941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255.771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187.871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69.09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73.45 </w:t>
            </w:r>
          </w:p>
        </w:tc>
      </w:tr>
      <w:tr w:rsidR="004D5A82">
        <w:trPr>
          <w:trHeight w:val="71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Average income of employees: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VND/person/month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7.1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7.1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5.77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81.27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81.27</w:t>
            </w:r>
          </w:p>
        </w:tc>
      </w:tr>
      <w:tr w:rsidR="004D5A82">
        <w:trPr>
          <w:trHeight w:val="74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Production and business results profit </w:t>
            </w:r>
            <w:r>
              <w:rPr>
                <w:rFonts w:ascii="Arial" w:hAnsi="Arial"/>
                <w:sz w:val="20"/>
              </w:rPr>
              <w:lastRenderedPageBreak/>
              <w:t>(loss)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Billion VND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(53.236)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(41.563)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(61.576)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(115.65)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(148.13)</w:t>
            </w:r>
          </w:p>
        </w:tc>
      </w:tr>
    </w:tbl>
    <w:p w:rsidR="004D5A82" w:rsidRDefault="0018446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 </w:t>
      </w:r>
      <w:r>
        <w:rPr>
          <w:rFonts w:ascii="Arial" w:hAnsi="Arial"/>
          <w:sz w:val="20"/>
        </w:rPr>
        <w:t>Production and business plan for 2024 with main targets as follows:</w:t>
      </w:r>
    </w:p>
    <w:tbl>
      <w:tblPr>
        <w:tblStyle w:val="a0"/>
        <w:tblW w:w="9016" w:type="dxa"/>
        <w:tblLayout w:type="fixed"/>
        <w:tblLook w:val="0000" w:firstRow="0" w:lastRow="0" w:firstColumn="0" w:lastColumn="0" w:noHBand="0" w:noVBand="0"/>
      </w:tblPr>
      <w:tblGrid>
        <w:gridCol w:w="865"/>
        <w:gridCol w:w="3623"/>
        <w:gridCol w:w="1165"/>
        <w:gridCol w:w="3363"/>
      </w:tblGrid>
      <w:tr w:rsidR="004D5A82">
        <w:trPr>
          <w:trHeight w:val="45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Name of targets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Unit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Plan 2024</w:t>
            </w:r>
          </w:p>
        </w:tc>
      </w:tr>
      <w:tr w:rsidR="004D5A82">
        <w:trPr>
          <w:trHeight w:val="42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Production output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4D5A82">
            <w:pP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4D5A82">
            <w:pP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5A82">
        <w:trPr>
          <w:trHeight w:val="42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Clinker production + purchase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Tons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102,000</w:t>
            </w:r>
          </w:p>
        </w:tc>
      </w:tr>
      <w:tr w:rsidR="004D5A82">
        <w:trPr>
          <w:trHeight w:val="42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Cement of all kinds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Tons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170,000</w:t>
            </w:r>
          </w:p>
        </w:tc>
      </w:tr>
      <w:tr w:rsidR="004D5A82">
        <w:trPr>
          <w:trHeight w:val="42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3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Stone of all kinds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56,000</w:t>
            </w:r>
          </w:p>
        </w:tc>
      </w:tr>
      <w:tr w:rsidR="004D5A82">
        <w:trPr>
          <w:trHeight w:val="42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Consumption output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4D5A82">
            <w:pP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4D5A82">
            <w:pP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5A82">
        <w:trPr>
          <w:trHeight w:val="41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Cement of all kinds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Tons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170,000</w:t>
            </w:r>
          </w:p>
        </w:tc>
      </w:tr>
      <w:tr w:rsidR="004D5A82">
        <w:trPr>
          <w:trHeight w:val="43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Revenue from goods consumption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Billion VND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152.434</w:t>
            </w:r>
          </w:p>
        </w:tc>
      </w:tr>
      <w:tr w:rsidR="004D5A82">
        <w:trPr>
          <w:trHeight w:val="42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Income of employees: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Million VND/person/month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6.0</w:t>
            </w:r>
          </w:p>
        </w:tc>
      </w:tr>
      <w:tr w:rsidR="004D5A82">
        <w:trPr>
          <w:trHeight w:val="46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Production and business results: Profit (Loss)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Billion VND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4D5A82" w:rsidRDefault="0018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(35.416)</w:t>
            </w:r>
          </w:p>
        </w:tc>
      </w:tr>
    </w:tbl>
    <w:p w:rsidR="004D5A82" w:rsidRDefault="001844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2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Agree to approve the Report on production and business results and financial situation in 2023, production and business plan in 2024.</w:t>
      </w:r>
    </w:p>
    <w:p w:rsidR="004D5A82" w:rsidRDefault="001844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22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Agree to approve the Report on activities of the Supervisory Board in 2023.</w:t>
      </w:r>
    </w:p>
    <w:p w:rsidR="004D5A82" w:rsidRDefault="001844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27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Agree with the Proposal No. 01/TT-BKS dated Ma</w:t>
      </w:r>
      <w:r>
        <w:rPr>
          <w:rFonts w:ascii="Arial" w:hAnsi="Arial"/>
          <w:sz w:val="20"/>
        </w:rPr>
        <w:t>y 28, 2024 of the Supervisory Board on introducing "on the selection of audit company in 2024".</w:t>
      </w:r>
    </w:p>
    <w:p w:rsidR="004D5A82" w:rsidRDefault="001844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739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Agree to approve the Proposal on expenses and remuneration of the Board of Directors, the Secretariat of the Board of Directors and the Supervisory Board in 2024.</w:t>
      </w:r>
    </w:p>
    <w:p w:rsidR="004D5A82" w:rsidRDefault="001844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‎‎Article 2. Responsibility for implementing the General Mandate: </w:t>
      </w:r>
    </w:p>
    <w:p w:rsidR="004D5A82" w:rsidRDefault="001844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General Meeting of Shareholders agrees to assign the Board of Directors to be responsible for disseminating, thoroughly implementing flexibly and most effectively the contents of this General Mandate.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The Supervisory Board is responsible for inspecting</w:t>
      </w:r>
      <w:r>
        <w:rPr>
          <w:rFonts w:ascii="Arial" w:hAnsi="Arial"/>
          <w:sz w:val="20"/>
        </w:rPr>
        <w:t xml:space="preserve"> and supervising the implementation of the General Mandate.</w:t>
      </w:r>
    </w:p>
    <w:p w:rsidR="004D5A82" w:rsidRDefault="001844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This General Mandate was approved and voted unanimously by the Annual General Meeting of Shareholders 2024 and takes effect immediately after the General Meeting votes for approval. The Board of D</w:t>
      </w:r>
      <w:r>
        <w:rPr>
          <w:rFonts w:ascii="Arial" w:hAnsi="Arial"/>
          <w:sz w:val="20"/>
        </w:rPr>
        <w:t xml:space="preserve">irectors are responsible for reporting the situation and the implementation result of this General Mandate in the next Annual General Meeting of Shareholders. </w:t>
      </w:r>
    </w:p>
    <w:sectPr w:rsidR="004D5A82">
      <w:pgSz w:w="11906" w:h="16838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763F9"/>
    <w:multiLevelType w:val="multilevel"/>
    <w:tmpl w:val="310885C6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3B1BEB"/>
    <w:multiLevelType w:val="multilevel"/>
    <w:tmpl w:val="87041050"/>
    <w:lvl w:ilvl="0">
      <w:start w:val="1"/>
      <w:numFmt w:val="decimal"/>
      <w:lvlText w:val="1.1.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82"/>
    <w:rsid w:val="0018446A"/>
    <w:rsid w:val="004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6FD12-BCAA-4E3C-9D70-E7CE3A67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86" w:lineRule="auto"/>
      <w:ind w:firstLine="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ind w:left="49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pPr>
      <w:spacing w:line="386" w:lineRule="auto"/>
      <w:ind w:firstLine="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63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mWrtPfbnXtINh27IgONFZqsyRQ==">CgMxLjA4AHIhMU0ycmZFTlduNjE3RWZLODgxZzdTc3VjOEM0b0lESzk0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2024-07-03T03:06:00Z</dcterms:created>
  <dcterms:modified xsi:type="dcterms:W3CDTF">2024-07-03T03:06:00Z</dcterms:modified>
</cp:coreProperties>
</file>