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ABDB1" w14:textId="77777777" w:rsidR="00841AEB" w:rsidRDefault="003066F7" w:rsidP="00EB4084">
      <w:pPr>
        <w:widowControl/>
        <w:pBdr>
          <w:top w:val="nil"/>
          <w:left w:val="nil"/>
          <w:bottom w:val="nil"/>
          <w:right w:val="nil"/>
          <w:between w:val="nil"/>
        </w:pBdr>
        <w:tabs>
          <w:tab w:val="left" w:pos="540"/>
        </w:tabs>
        <w:spacing w:after="120" w:line="360" w:lineRule="auto"/>
        <w:jc w:val="both"/>
        <w:rPr>
          <w:rFonts w:ascii="Arial" w:eastAsia="Arial" w:hAnsi="Arial" w:cs="Arial"/>
          <w:b/>
          <w:sz w:val="20"/>
          <w:szCs w:val="20"/>
        </w:rPr>
      </w:pPr>
      <w:r>
        <w:rPr>
          <w:rFonts w:ascii="Arial" w:hAnsi="Arial"/>
          <w:b/>
          <w:bCs/>
          <w:sz w:val="20"/>
        </w:rPr>
        <w:t>S12:</w:t>
      </w:r>
      <w:r>
        <w:rPr>
          <w:rFonts w:ascii="Arial" w:hAnsi="Arial"/>
          <w:b/>
          <w:sz w:val="20"/>
        </w:rPr>
        <w:t xml:space="preserve"> Annual General Mandate 2024</w:t>
      </w:r>
    </w:p>
    <w:p w14:paraId="3BFBF2D0" w14:textId="77777777" w:rsidR="00841AEB" w:rsidRDefault="003066F7" w:rsidP="00EB4084">
      <w:pPr>
        <w:widowControl/>
        <w:pBdr>
          <w:top w:val="nil"/>
          <w:left w:val="nil"/>
          <w:bottom w:val="nil"/>
          <w:right w:val="nil"/>
          <w:between w:val="nil"/>
        </w:pBdr>
        <w:tabs>
          <w:tab w:val="left" w:pos="540"/>
        </w:tabs>
        <w:spacing w:after="120" w:line="360" w:lineRule="auto"/>
        <w:jc w:val="both"/>
        <w:rPr>
          <w:rFonts w:ascii="Arial" w:eastAsia="Arial" w:hAnsi="Arial" w:cs="Arial"/>
          <w:sz w:val="20"/>
          <w:szCs w:val="20"/>
        </w:rPr>
      </w:pPr>
      <w:r>
        <w:rPr>
          <w:rFonts w:ascii="Arial" w:hAnsi="Arial"/>
          <w:sz w:val="20"/>
        </w:rPr>
        <w:t>On June 26, 2024, Song Da No 12 Joint Stock Company announced General Mandate No. 01/SD12-NQ-DHDCD as follows:</w:t>
      </w:r>
    </w:p>
    <w:p w14:paraId="4B9EE24A" w14:textId="77777777" w:rsidR="00841AEB" w:rsidRDefault="003066F7" w:rsidP="00EB4084">
      <w:pPr>
        <w:pBdr>
          <w:top w:val="nil"/>
          <w:left w:val="nil"/>
          <w:bottom w:val="nil"/>
          <w:right w:val="nil"/>
          <w:between w:val="nil"/>
        </w:pBdr>
        <w:tabs>
          <w:tab w:val="left" w:pos="540"/>
        </w:tabs>
        <w:spacing w:after="120" w:line="360" w:lineRule="auto"/>
        <w:jc w:val="both"/>
        <w:rPr>
          <w:rFonts w:ascii="Arial" w:eastAsia="Arial" w:hAnsi="Arial" w:cs="Arial"/>
          <w:sz w:val="20"/>
          <w:szCs w:val="20"/>
        </w:rPr>
      </w:pPr>
      <w:r>
        <w:rPr>
          <w:rFonts w:ascii="Arial" w:hAnsi="Arial"/>
          <w:sz w:val="20"/>
        </w:rPr>
        <w:t xml:space="preserve">Article 1: The Annual General Meeting of Shareholders of Song Da No 12 Joint Stock Company in 2024 resolved the following contents </w:t>
      </w:r>
    </w:p>
    <w:tbl>
      <w:tblPr>
        <w:tblStyle w:val="a"/>
        <w:tblW w:w="8852" w:type="dxa"/>
        <w:tblInd w:w="-5" w:type="dxa"/>
        <w:tblLayout w:type="fixed"/>
        <w:tblLook w:val="0400" w:firstRow="0" w:lastRow="0" w:firstColumn="0" w:lastColumn="0" w:noHBand="0" w:noVBand="1"/>
      </w:tblPr>
      <w:tblGrid>
        <w:gridCol w:w="4138"/>
        <w:gridCol w:w="4714"/>
      </w:tblGrid>
      <w:tr w:rsidR="00841AEB" w14:paraId="4B142CE1" w14:textId="77777777">
        <w:trPr>
          <w:trHeight w:val="326"/>
        </w:trPr>
        <w:tc>
          <w:tcPr>
            <w:tcW w:w="8852" w:type="dxa"/>
            <w:gridSpan w:val="2"/>
            <w:shd w:val="clear" w:color="auto" w:fill="FFFFFF"/>
            <w:tcMar>
              <w:top w:w="0" w:type="dxa"/>
              <w:bottom w:w="0" w:type="dxa"/>
            </w:tcMar>
            <w:vAlign w:val="bottom"/>
          </w:tcPr>
          <w:p w14:paraId="295C0AB9" w14:textId="77777777" w:rsidR="00841AEB" w:rsidRDefault="003066F7" w:rsidP="00EB4084">
            <w:pPr>
              <w:numPr>
                <w:ilvl w:val="0"/>
                <w:numId w:val="1"/>
              </w:numPr>
              <w:pBdr>
                <w:top w:val="nil"/>
                <w:left w:val="nil"/>
                <w:bottom w:val="nil"/>
                <w:right w:val="nil"/>
                <w:between w:val="nil"/>
              </w:pBdr>
              <w:tabs>
                <w:tab w:val="left" w:pos="540"/>
              </w:tabs>
              <w:spacing w:after="120" w:line="360" w:lineRule="auto"/>
              <w:ind w:left="0" w:firstLine="0"/>
              <w:jc w:val="both"/>
              <w:rPr>
                <w:rFonts w:ascii="Arial" w:eastAsia="Arial" w:hAnsi="Arial" w:cs="Arial"/>
                <w:sz w:val="20"/>
                <w:szCs w:val="20"/>
              </w:rPr>
            </w:pPr>
            <w:r>
              <w:rPr>
                <w:rFonts w:ascii="Arial" w:hAnsi="Arial"/>
                <w:sz w:val="20"/>
              </w:rPr>
              <w:t>Approve “Production and Business Plan 2024 " with the following main targets :</w:t>
            </w:r>
          </w:p>
        </w:tc>
      </w:tr>
      <w:tr w:rsidR="00841AEB" w14:paraId="78697EBB" w14:textId="77777777">
        <w:trPr>
          <w:trHeight w:val="269"/>
        </w:trPr>
        <w:tc>
          <w:tcPr>
            <w:tcW w:w="4138" w:type="dxa"/>
            <w:shd w:val="clear" w:color="auto" w:fill="FFFFFF"/>
            <w:tcMar>
              <w:top w:w="0" w:type="dxa"/>
              <w:bottom w:w="0" w:type="dxa"/>
            </w:tcMar>
            <w:vAlign w:val="bottom"/>
          </w:tcPr>
          <w:p w14:paraId="600A8D20" w14:textId="77777777" w:rsidR="00841AEB" w:rsidRDefault="003066F7">
            <w:pPr>
              <w:pBdr>
                <w:top w:val="nil"/>
                <w:left w:val="nil"/>
                <w:bottom w:val="nil"/>
                <w:right w:val="nil"/>
                <w:between w:val="nil"/>
              </w:pBdr>
              <w:tabs>
                <w:tab w:val="left" w:pos="540"/>
              </w:tabs>
              <w:spacing w:after="120" w:line="360" w:lineRule="auto"/>
              <w:rPr>
                <w:rFonts w:ascii="Arial" w:eastAsia="Arial" w:hAnsi="Arial" w:cs="Arial"/>
                <w:sz w:val="20"/>
                <w:szCs w:val="20"/>
              </w:rPr>
            </w:pPr>
            <w:r>
              <w:rPr>
                <w:rFonts w:ascii="Arial" w:hAnsi="Arial"/>
                <w:sz w:val="20"/>
              </w:rPr>
              <w:t>- Value of production and business activities:</w:t>
            </w:r>
          </w:p>
        </w:tc>
        <w:tc>
          <w:tcPr>
            <w:tcW w:w="4714" w:type="dxa"/>
            <w:shd w:val="clear" w:color="auto" w:fill="FFFFFF"/>
            <w:tcMar>
              <w:top w:w="0" w:type="dxa"/>
              <w:bottom w:w="0" w:type="dxa"/>
            </w:tcMar>
            <w:vAlign w:val="bottom"/>
          </w:tcPr>
          <w:p w14:paraId="0FD4F937" w14:textId="77777777" w:rsidR="00841AEB" w:rsidRDefault="003066F7">
            <w:pPr>
              <w:pBdr>
                <w:top w:val="nil"/>
                <w:left w:val="nil"/>
                <w:bottom w:val="nil"/>
                <w:right w:val="nil"/>
                <w:between w:val="nil"/>
              </w:pBdr>
              <w:tabs>
                <w:tab w:val="left" w:pos="540"/>
              </w:tabs>
              <w:spacing w:after="120" w:line="360" w:lineRule="auto"/>
              <w:rPr>
                <w:rFonts w:ascii="Arial" w:eastAsia="Arial" w:hAnsi="Arial" w:cs="Arial"/>
                <w:sz w:val="20"/>
                <w:szCs w:val="20"/>
              </w:rPr>
            </w:pPr>
            <w:r>
              <w:rPr>
                <w:rFonts w:ascii="Arial" w:hAnsi="Arial"/>
                <w:sz w:val="20"/>
              </w:rPr>
              <w:t>VND0.326 billion.</w:t>
            </w:r>
          </w:p>
        </w:tc>
      </w:tr>
      <w:tr w:rsidR="00841AEB" w14:paraId="2351E554" w14:textId="77777777">
        <w:trPr>
          <w:trHeight w:val="374"/>
        </w:trPr>
        <w:tc>
          <w:tcPr>
            <w:tcW w:w="4138" w:type="dxa"/>
            <w:shd w:val="clear" w:color="auto" w:fill="FFFFFF"/>
            <w:tcMar>
              <w:top w:w="0" w:type="dxa"/>
              <w:bottom w:w="0" w:type="dxa"/>
            </w:tcMar>
            <w:vAlign w:val="bottom"/>
          </w:tcPr>
          <w:p w14:paraId="022FBE47" w14:textId="77777777" w:rsidR="00841AEB" w:rsidRDefault="003066F7">
            <w:pPr>
              <w:pBdr>
                <w:top w:val="nil"/>
                <w:left w:val="nil"/>
                <w:bottom w:val="nil"/>
                <w:right w:val="nil"/>
                <w:between w:val="nil"/>
              </w:pBdr>
              <w:tabs>
                <w:tab w:val="left" w:pos="540"/>
              </w:tabs>
              <w:spacing w:after="120" w:line="360" w:lineRule="auto"/>
              <w:rPr>
                <w:rFonts w:ascii="Arial" w:eastAsia="Arial" w:hAnsi="Arial" w:cs="Arial"/>
                <w:sz w:val="20"/>
                <w:szCs w:val="20"/>
              </w:rPr>
            </w:pPr>
            <w:r>
              <w:rPr>
                <w:rFonts w:ascii="Arial" w:hAnsi="Arial"/>
                <w:sz w:val="20"/>
              </w:rPr>
              <w:t>Revenue:</w:t>
            </w:r>
          </w:p>
        </w:tc>
        <w:tc>
          <w:tcPr>
            <w:tcW w:w="4714" w:type="dxa"/>
            <w:shd w:val="clear" w:color="auto" w:fill="FFFFFF"/>
            <w:tcMar>
              <w:top w:w="0" w:type="dxa"/>
              <w:bottom w:w="0" w:type="dxa"/>
            </w:tcMar>
            <w:vAlign w:val="bottom"/>
          </w:tcPr>
          <w:p w14:paraId="7CA36475" w14:textId="77777777" w:rsidR="00841AEB" w:rsidRDefault="003066F7">
            <w:pPr>
              <w:pBdr>
                <w:top w:val="nil"/>
                <w:left w:val="nil"/>
                <w:bottom w:val="nil"/>
                <w:right w:val="nil"/>
                <w:between w:val="nil"/>
              </w:pBdr>
              <w:tabs>
                <w:tab w:val="left" w:pos="540"/>
              </w:tabs>
              <w:spacing w:after="120" w:line="360" w:lineRule="auto"/>
              <w:rPr>
                <w:rFonts w:ascii="Arial" w:eastAsia="Arial" w:hAnsi="Arial" w:cs="Arial"/>
                <w:sz w:val="20"/>
                <w:szCs w:val="20"/>
              </w:rPr>
            </w:pPr>
            <w:r>
              <w:rPr>
                <w:rFonts w:ascii="Arial" w:hAnsi="Arial"/>
                <w:sz w:val="20"/>
              </w:rPr>
              <w:t>VND1.000 billion.</w:t>
            </w:r>
          </w:p>
        </w:tc>
      </w:tr>
      <w:tr w:rsidR="00841AEB" w14:paraId="086260C8" w14:textId="77777777">
        <w:trPr>
          <w:trHeight w:val="317"/>
        </w:trPr>
        <w:tc>
          <w:tcPr>
            <w:tcW w:w="4138" w:type="dxa"/>
            <w:shd w:val="clear" w:color="auto" w:fill="FFFFFF"/>
            <w:tcMar>
              <w:top w:w="0" w:type="dxa"/>
              <w:bottom w:w="0" w:type="dxa"/>
            </w:tcMar>
          </w:tcPr>
          <w:p w14:paraId="17D785A2" w14:textId="77777777" w:rsidR="00841AEB" w:rsidRDefault="003066F7">
            <w:pPr>
              <w:pBdr>
                <w:top w:val="nil"/>
                <w:left w:val="nil"/>
                <w:bottom w:val="nil"/>
                <w:right w:val="nil"/>
                <w:between w:val="nil"/>
              </w:pBdr>
              <w:tabs>
                <w:tab w:val="left" w:pos="540"/>
              </w:tabs>
              <w:spacing w:after="120" w:line="360" w:lineRule="auto"/>
              <w:rPr>
                <w:rFonts w:ascii="Arial" w:eastAsia="Arial" w:hAnsi="Arial" w:cs="Arial"/>
                <w:sz w:val="20"/>
                <w:szCs w:val="20"/>
              </w:rPr>
            </w:pPr>
            <w:r>
              <w:rPr>
                <w:rFonts w:ascii="Arial" w:hAnsi="Arial"/>
                <w:sz w:val="20"/>
              </w:rPr>
              <w:t>Profit before tax:</w:t>
            </w:r>
          </w:p>
        </w:tc>
        <w:tc>
          <w:tcPr>
            <w:tcW w:w="4714" w:type="dxa"/>
            <w:shd w:val="clear" w:color="auto" w:fill="FFFFFF"/>
            <w:tcMar>
              <w:top w:w="0" w:type="dxa"/>
              <w:bottom w:w="0" w:type="dxa"/>
            </w:tcMar>
          </w:tcPr>
          <w:p w14:paraId="422E6195" w14:textId="77777777" w:rsidR="00841AEB" w:rsidRDefault="003066F7">
            <w:pPr>
              <w:pBdr>
                <w:top w:val="nil"/>
                <w:left w:val="nil"/>
                <w:bottom w:val="nil"/>
                <w:right w:val="nil"/>
                <w:between w:val="nil"/>
              </w:pBdr>
              <w:tabs>
                <w:tab w:val="left" w:pos="540"/>
              </w:tabs>
              <w:spacing w:after="120" w:line="360" w:lineRule="auto"/>
              <w:rPr>
                <w:rFonts w:ascii="Arial" w:eastAsia="Arial" w:hAnsi="Arial" w:cs="Arial"/>
                <w:sz w:val="20"/>
                <w:szCs w:val="20"/>
              </w:rPr>
            </w:pPr>
            <w:r>
              <w:rPr>
                <w:rFonts w:ascii="Arial" w:hAnsi="Arial"/>
                <w:sz w:val="20"/>
              </w:rPr>
              <w:t>VND0.100 billion.</w:t>
            </w:r>
          </w:p>
        </w:tc>
      </w:tr>
      <w:tr w:rsidR="00841AEB" w14:paraId="6D8876DD" w14:textId="77777777">
        <w:trPr>
          <w:trHeight w:val="317"/>
        </w:trPr>
        <w:tc>
          <w:tcPr>
            <w:tcW w:w="4138" w:type="dxa"/>
            <w:shd w:val="clear" w:color="auto" w:fill="FFFFFF"/>
            <w:tcMar>
              <w:top w:w="0" w:type="dxa"/>
              <w:bottom w:w="0" w:type="dxa"/>
            </w:tcMar>
          </w:tcPr>
          <w:p w14:paraId="41278F5B" w14:textId="77777777" w:rsidR="00841AEB" w:rsidRDefault="003066F7">
            <w:pPr>
              <w:pBdr>
                <w:top w:val="nil"/>
                <w:left w:val="nil"/>
                <w:bottom w:val="nil"/>
                <w:right w:val="nil"/>
                <w:between w:val="nil"/>
              </w:pBdr>
              <w:tabs>
                <w:tab w:val="left" w:pos="540"/>
              </w:tabs>
              <w:spacing w:after="120" w:line="360" w:lineRule="auto"/>
              <w:rPr>
                <w:rFonts w:ascii="Arial" w:eastAsia="Arial" w:hAnsi="Arial" w:cs="Arial"/>
                <w:sz w:val="20"/>
                <w:szCs w:val="20"/>
              </w:rPr>
            </w:pPr>
            <w:r>
              <w:rPr>
                <w:rFonts w:ascii="Arial" w:hAnsi="Arial"/>
                <w:sz w:val="20"/>
              </w:rPr>
              <w:t>Profit after tax:</w:t>
            </w:r>
          </w:p>
        </w:tc>
        <w:tc>
          <w:tcPr>
            <w:tcW w:w="4714" w:type="dxa"/>
            <w:shd w:val="clear" w:color="auto" w:fill="FFFFFF"/>
            <w:tcMar>
              <w:top w:w="0" w:type="dxa"/>
              <w:bottom w:w="0" w:type="dxa"/>
            </w:tcMar>
          </w:tcPr>
          <w:p w14:paraId="25B36077" w14:textId="77777777" w:rsidR="00841AEB" w:rsidRDefault="003066F7">
            <w:pPr>
              <w:pBdr>
                <w:top w:val="nil"/>
                <w:left w:val="nil"/>
                <w:bottom w:val="nil"/>
                <w:right w:val="nil"/>
                <w:between w:val="nil"/>
              </w:pBdr>
              <w:tabs>
                <w:tab w:val="left" w:pos="540"/>
              </w:tabs>
              <w:spacing w:after="120" w:line="360" w:lineRule="auto"/>
              <w:rPr>
                <w:rFonts w:ascii="Arial" w:eastAsia="Arial" w:hAnsi="Arial" w:cs="Arial"/>
                <w:sz w:val="20"/>
                <w:szCs w:val="20"/>
              </w:rPr>
            </w:pPr>
            <w:r>
              <w:rPr>
                <w:rFonts w:ascii="Arial" w:hAnsi="Arial"/>
                <w:sz w:val="20"/>
              </w:rPr>
              <w:t>VND0.100 billion.</w:t>
            </w:r>
          </w:p>
        </w:tc>
      </w:tr>
      <w:tr w:rsidR="00841AEB" w14:paraId="442DC554" w14:textId="77777777">
        <w:trPr>
          <w:trHeight w:val="307"/>
        </w:trPr>
        <w:tc>
          <w:tcPr>
            <w:tcW w:w="4138" w:type="dxa"/>
            <w:shd w:val="clear" w:color="auto" w:fill="FFFFFF"/>
            <w:tcMar>
              <w:top w:w="0" w:type="dxa"/>
              <w:bottom w:w="0" w:type="dxa"/>
            </w:tcMar>
            <w:vAlign w:val="bottom"/>
          </w:tcPr>
          <w:p w14:paraId="274500FC" w14:textId="77777777" w:rsidR="00841AEB" w:rsidRDefault="003066F7">
            <w:pPr>
              <w:pBdr>
                <w:top w:val="nil"/>
                <w:left w:val="nil"/>
                <w:bottom w:val="nil"/>
                <w:right w:val="nil"/>
                <w:between w:val="nil"/>
              </w:pBdr>
              <w:tabs>
                <w:tab w:val="left" w:pos="540"/>
              </w:tabs>
              <w:spacing w:after="120" w:line="360" w:lineRule="auto"/>
              <w:rPr>
                <w:rFonts w:ascii="Arial" w:eastAsia="Arial" w:hAnsi="Arial" w:cs="Arial"/>
                <w:sz w:val="20"/>
                <w:szCs w:val="20"/>
              </w:rPr>
            </w:pPr>
            <w:r>
              <w:rPr>
                <w:rFonts w:ascii="Arial" w:hAnsi="Arial"/>
                <w:sz w:val="20"/>
              </w:rPr>
              <w:t>- Payables to the state budget</w:t>
            </w:r>
          </w:p>
        </w:tc>
        <w:tc>
          <w:tcPr>
            <w:tcW w:w="4714" w:type="dxa"/>
            <w:shd w:val="clear" w:color="auto" w:fill="FFFFFF"/>
            <w:tcMar>
              <w:top w:w="0" w:type="dxa"/>
              <w:bottom w:w="0" w:type="dxa"/>
            </w:tcMar>
            <w:vAlign w:val="bottom"/>
          </w:tcPr>
          <w:p w14:paraId="1D439166" w14:textId="77777777" w:rsidR="00841AEB" w:rsidRDefault="003066F7">
            <w:pPr>
              <w:pBdr>
                <w:top w:val="nil"/>
                <w:left w:val="nil"/>
                <w:bottom w:val="nil"/>
                <w:right w:val="nil"/>
                <w:between w:val="nil"/>
              </w:pBdr>
              <w:tabs>
                <w:tab w:val="left" w:pos="540"/>
              </w:tabs>
              <w:spacing w:after="120" w:line="360" w:lineRule="auto"/>
              <w:rPr>
                <w:rFonts w:ascii="Arial" w:eastAsia="Arial" w:hAnsi="Arial" w:cs="Arial"/>
                <w:sz w:val="20"/>
                <w:szCs w:val="20"/>
              </w:rPr>
            </w:pPr>
            <w:r>
              <w:rPr>
                <w:rFonts w:ascii="Arial" w:hAnsi="Arial"/>
                <w:sz w:val="20"/>
              </w:rPr>
              <w:t xml:space="preserve">VND0.36 billion. </w:t>
            </w:r>
          </w:p>
        </w:tc>
      </w:tr>
      <w:tr w:rsidR="00841AEB" w14:paraId="3A34067C" w14:textId="77777777">
        <w:trPr>
          <w:trHeight w:val="326"/>
        </w:trPr>
        <w:tc>
          <w:tcPr>
            <w:tcW w:w="4138" w:type="dxa"/>
            <w:shd w:val="clear" w:color="auto" w:fill="FFFFFF"/>
            <w:tcMar>
              <w:top w:w="0" w:type="dxa"/>
              <w:bottom w:w="0" w:type="dxa"/>
            </w:tcMar>
          </w:tcPr>
          <w:p w14:paraId="2AF8081A" w14:textId="77777777" w:rsidR="00841AEB" w:rsidRDefault="003066F7">
            <w:pPr>
              <w:pBdr>
                <w:top w:val="nil"/>
                <w:left w:val="nil"/>
                <w:bottom w:val="nil"/>
                <w:right w:val="nil"/>
                <w:between w:val="nil"/>
              </w:pBdr>
              <w:tabs>
                <w:tab w:val="left" w:pos="540"/>
              </w:tabs>
              <w:spacing w:after="120" w:line="360" w:lineRule="auto"/>
              <w:rPr>
                <w:rFonts w:ascii="Arial" w:eastAsia="Arial" w:hAnsi="Arial" w:cs="Arial"/>
                <w:sz w:val="20"/>
                <w:szCs w:val="20"/>
              </w:rPr>
            </w:pPr>
            <w:r>
              <w:rPr>
                <w:rFonts w:ascii="Arial" w:hAnsi="Arial"/>
                <w:sz w:val="20"/>
              </w:rPr>
              <w:t>- Dividend payment rate:</w:t>
            </w:r>
          </w:p>
        </w:tc>
        <w:tc>
          <w:tcPr>
            <w:tcW w:w="4714" w:type="dxa"/>
            <w:shd w:val="clear" w:color="auto" w:fill="FFFFFF"/>
            <w:tcMar>
              <w:top w:w="0" w:type="dxa"/>
              <w:bottom w:w="0" w:type="dxa"/>
            </w:tcMar>
          </w:tcPr>
          <w:p w14:paraId="085B8618" w14:textId="77777777" w:rsidR="00841AEB" w:rsidRDefault="003066F7">
            <w:pPr>
              <w:pBdr>
                <w:top w:val="nil"/>
                <w:left w:val="nil"/>
                <w:bottom w:val="nil"/>
                <w:right w:val="nil"/>
                <w:between w:val="nil"/>
              </w:pBdr>
              <w:tabs>
                <w:tab w:val="left" w:pos="540"/>
              </w:tabs>
              <w:spacing w:after="120" w:line="360" w:lineRule="auto"/>
              <w:rPr>
                <w:rFonts w:ascii="Arial" w:eastAsia="Arial" w:hAnsi="Arial" w:cs="Arial"/>
                <w:sz w:val="20"/>
                <w:szCs w:val="20"/>
              </w:rPr>
            </w:pPr>
            <w:r>
              <w:rPr>
                <w:rFonts w:ascii="Arial" w:hAnsi="Arial"/>
                <w:sz w:val="20"/>
              </w:rPr>
              <w:t>0%</w:t>
            </w:r>
          </w:p>
        </w:tc>
      </w:tr>
      <w:tr w:rsidR="00841AEB" w14:paraId="40C18FE8" w14:textId="77777777">
        <w:trPr>
          <w:trHeight w:val="326"/>
        </w:trPr>
        <w:tc>
          <w:tcPr>
            <w:tcW w:w="4138" w:type="dxa"/>
            <w:shd w:val="clear" w:color="auto" w:fill="FFFFFF"/>
            <w:tcMar>
              <w:top w:w="0" w:type="dxa"/>
              <w:bottom w:w="0" w:type="dxa"/>
            </w:tcMar>
          </w:tcPr>
          <w:p w14:paraId="78E98CA0" w14:textId="77777777" w:rsidR="00841AEB" w:rsidRDefault="003066F7">
            <w:pPr>
              <w:pBdr>
                <w:top w:val="nil"/>
                <w:left w:val="nil"/>
                <w:bottom w:val="nil"/>
                <w:right w:val="nil"/>
                <w:between w:val="nil"/>
              </w:pBdr>
              <w:tabs>
                <w:tab w:val="left" w:pos="540"/>
              </w:tabs>
              <w:spacing w:after="120" w:line="360" w:lineRule="auto"/>
              <w:rPr>
                <w:rFonts w:ascii="Arial" w:eastAsia="Arial" w:hAnsi="Arial" w:cs="Arial"/>
                <w:sz w:val="20"/>
                <w:szCs w:val="20"/>
              </w:rPr>
            </w:pPr>
            <w:r>
              <w:rPr>
                <w:rFonts w:ascii="Arial" w:hAnsi="Arial"/>
                <w:sz w:val="20"/>
              </w:rPr>
              <w:t>- Investment:</w:t>
            </w:r>
          </w:p>
        </w:tc>
        <w:tc>
          <w:tcPr>
            <w:tcW w:w="4714" w:type="dxa"/>
            <w:shd w:val="clear" w:color="auto" w:fill="FFFFFF"/>
            <w:tcMar>
              <w:top w:w="0" w:type="dxa"/>
              <w:bottom w:w="0" w:type="dxa"/>
            </w:tcMar>
          </w:tcPr>
          <w:p w14:paraId="32C4BE34" w14:textId="73B53866" w:rsidR="00841AEB" w:rsidRDefault="00307E68">
            <w:pPr>
              <w:pBdr>
                <w:top w:val="nil"/>
                <w:left w:val="nil"/>
                <w:bottom w:val="nil"/>
                <w:right w:val="nil"/>
                <w:between w:val="nil"/>
              </w:pBdr>
              <w:tabs>
                <w:tab w:val="left" w:pos="540"/>
              </w:tabs>
              <w:spacing w:after="120" w:line="360" w:lineRule="auto"/>
              <w:rPr>
                <w:rFonts w:ascii="Arial" w:eastAsia="Arial" w:hAnsi="Arial" w:cs="Arial"/>
                <w:sz w:val="20"/>
                <w:szCs w:val="20"/>
              </w:rPr>
            </w:pPr>
            <w:r>
              <w:rPr>
                <w:rFonts w:ascii="Arial" w:hAnsi="Arial"/>
                <w:sz w:val="20"/>
              </w:rPr>
              <w:t>0</w:t>
            </w:r>
          </w:p>
        </w:tc>
      </w:tr>
    </w:tbl>
    <w:p w14:paraId="5CBA87E7" w14:textId="5F1C3D2A" w:rsidR="00841AEB" w:rsidRDefault="003066F7" w:rsidP="00307E68">
      <w:pPr>
        <w:pBdr>
          <w:top w:val="nil"/>
          <w:left w:val="nil"/>
          <w:bottom w:val="nil"/>
          <w:right w:val="nil"/>
          <w:between w:val="nil"/>
        </w:pBdr>
        <w:tabs>
          <w:tab w:val="left" w:pos="540"/>
        </w:tabs>
        <w:spacing w:after="120" w:line="360" w:lineRule="auto"/>
        <w:jc w:val="both"/>
        <w:rPr>
          <w:rFonts w:ascii="Arial" w:eastAsia="Arial" w:hAnsi="Arial" w:cs="Arial"/>
          <w:sz w:val="20"/>
          <w:szCs w:val="20"/>
        </w:rPr>
      </w:pPr>
      <w:r>
        <w:rPr>
          <w:rFonts w:ascii="Arial" w:hAnsi="Arial"/>
          <w:sz w:val="20"/>
        </w:rPr>
        <w:t xml:space="preserve">2. </w:t>
      </w:r>
      <w:r w:rsidR="00694BE5">
        <w:rPr>
          <w:rFonts w:ascii="Arial" w:hAnsi="Arial"/>
          <w:sz w:val="20"/>
        </w:rPr>
        <w:tab/>
      </w:r>
      <w:r w:rsidR="0029664B">
        <w:rPr>
          <w:rFonts w:ascii="Arial" w:hAnsi="Arial"/>
          <w:sz w:val="20"/>
        </w:rPr>
        <w:t>Not a</w:t>
      </w:r>
      <w:r>
        <w:rPr>
          <w:rFonts w:ascii="Arial" w:hAnsi="Arial"/>
          <w:sz w:val="20"/>
        </w:rPr>
        <w:t>pprove “ the Board of Management’s Report on production and business results in 2023 as well as the production and business plan in 2024" as the content of the report presented at the Meeting, except for the content "Production and business plan in 2024 ":</w:t>
      </w:r>
    </w:p>
    <w:p w14:paraId="7AFC93D6" w14:textId="6893113C" w:rsidR="00841AEB" w:rsidRDefault="003066F7" w:rsidP="00307E68">
      <w:pPr>
        <w:numPr>
          <w:ilvl w:val="0"/>
          <w:numId w:val="2"/>
        </w:numPr>
        <w:pBdr>
          <w:top w:val="nil"/>
          <w:left w:val="nil"/>
          <w:bottom w:val="nil"/>
          <w:right w:val="nil"/>
          <w:between w:val="nil"/>
        </w:pBdr>
        <w:tabs>
          <w:tab w:val="left" w:pos="540"/>
          <w:tab w:val="left" w:pos="883"/>
        </w:tabs>
        <w:spacing w:after="120" w:line="360" w:lineRule="auto"/>
        <w:jc w:val="both"/>
        <w:rPr>
          <w:rFonts w:ascii="Arial" w:eastAsia="Arial" w:hAnsi="Arial" w:cs="Arial"/>
          <w:sz w:val="20"/>
          <w:szCs w:val="20"/>
        </w:rPr>
      </w:pPr>
      <w:r>
        <w:rPr>
          <w:rFonts w:ascii="Arial" w:hAnsi="Arial"/>
          <w:sz w:val="20"/>
        </w:rPr>
        <w:t>Not approve the "the Board of Directors’ Report on activities results in 2023 and operating plan for 2024" as the content of the report presented at the Meeting, except for the content "Production and business plan for 2024".</w:t>
      </w:r>
    </w:p>
    <w:p w14:paraId="46C080A9" w14:textId="77777777" w:rsidR="00841AEB" w:rsidRDefault="003066F7" w:rsidP="00307E68">
      <w:pPr>
        <w:numPr>
          <w:ilvl w:val="0"/>
          <w:numId w:val="2"/>
        </w:numPr>
        <w:pBdr>
          <w:top w:val="nil"/>
          <w:left w:val="nil"/>
          <w:bottom w:val="nil"/>
          <w:right w:val="nil"/>
          <w:between w:val="nil"/>
        </w:pBdr>
        <w:tabs>
          <w:tab w:val="left" w:pos="540"/>
          <w:tab w:val="left" w:pos="902"/>
        </w:tabs>
        <w:spacing w:after="120" w:line="360" w:lineRule="auto"/>
        <w:jc w:val="both"/>
        <w:rPr>
          <w:rFonts w:ascii="Arial" w:eastAsia="Arial" w:hAnsi="Arial" w:cs="Arial"/>
          <w:sz w:val="20"/>
          <w:szCs w:val="20"/>
        </w:rPr>
      </w:pPr>
      <w:r>
        <w:rPr>
          <w:rFonts w:ascii="Arial" w:hAnsi="Arial"/>
          <w:sz w:val="20"/>
        </w:rPr>
        <w:t>Approve "the Supervisory Board’s Report on activities results in 2023 and plan for 2024" as the content of the report presented at the Meeting.</w:t>
      </w:r>
    </w:p>
    <w:p w14:paraId="6214C06A" w14:textId="77777777" w:rsidR="00841AEB" w:rsidRDefault="00841AEB">
      <w:pPr>
        <w:tabs>
          <w:tab w:val="left" w:pos="540"/>
          <w:tab w:val="left" w:pos="902"/>
        </w:tabs>
        <w:spacing w:after="120" w:line="360" w:lineRule="auto"/>
        <w:rPr>
          <w:rFonts w:ascii="Arial" w:eastAsia="Arial" w:hAnsi="Arial" w:cs="Arial"/>
          <w:sz w:val="20"/>
          <w:szCs w:val="20"/>
        </w:rPr>
      </w:pPr>
    </w:p>
    <w:tbl>
      <w:tblPr>
        <w:tblStyle w:val="a0"/>
        <w:tblW w:w="9092" w:type="dxa"/>
        <w:tblBorders>
          <w:top w:val="nil"/>
          <w:left w:val="nil"/>
          <w:bottom w:val="nil"/>
          <w:right w:val="nil"/>
          <w:insideH w:val="nil"/>
          <w:insideV w:val="nil"/>
        </w:tblBorders>
        <w:tblLayout w:type="fixed"/>
        <w:tblLook w:val="0600" w:firstRow="0" w:lastRow="0" w:firstColumn="0" w:lastColumn="0" w:noHBand="1" w:noVBand="1"/>
      </w:tblPr>
      <w:tblGrid>
        <w:gridCol w:w="3281"/>
        <w:gridCol w:w="1054"/>
        <w:gridCol w:w="1305"/>
        <w:gridCol w:w="1455"/>
        <w:gridCol w:w="1997"/>
      </w:tblGrid>
      <w:tr w:rsidR="00841AEB" w:rsidRPr="004212A9" w14:paraId="7184DAA5" w14:textId="77777777" w:rsidTr="00EB4084">
        <w:trPr>
          <w:trHeight w:val="435"/>
        </w:trPr>
        <w:tc>
          <w:tcPr>
            <w:tcW w:w="3281" w:type="dxa"/>
            <w:tcBorders>
              <w:top w:val="single" w:sz="5" w:space="0" w:color="000000"/>
              <w:left w:val="single" w:sz="5" w:space="0" w:color="000000"/>
              <w:bottom w:val="single" w:sz="5" w:space="0" w:color="000000"/>
              <w:right w:val="single" w:sz="5" w:space="0" w:color="000000"/>
            </w:tcBorders>
            <w:tcMar>
              <w:top w:w="0" w:type="dxa"/>
              <w:left w:w="20" w:type="dxa"/>
              <w:bottom w:w="0" w:type="dxa"/>
              <w:right w:w="20" w:type="dxa"/>
            </w:tcMar>
          </w:tcPr>
          <w:p w14:paraId="5126875C" w14:textId="77777777" w:rsidR="00841AEB" w:rsidRPr="004212A9" w:rsidRDefault="003066F7" w:rsidP="004212A9">
            <w:pPr>
              <w:tabs>
                <w:tab w:val="left" w:pos="540"/>
                <w:tab w:val="left" w:pos="902"/>
              </w:tabs>
              <w:spacing w:before="240" w:after="120" w:line="360" w:lineRule="auto"/>
              <w:jc w:val="center"/>
              <w:rPr>
                <w:rFonts w:ascii="Arial" w:eastAsia="Arial" w:hAnsi="Arial" w:cs="Arial"/>
                <w:sz w:val="20"/>
                <w:szCs w:val="20"/>
              </w:rPr>
            </w:pPr>
            <w:r w:rsidRPr="004212A9">
              <w:rPr>
                <w:rFonts w:ascii="Arial" w:hAnsi="Arial"/>
                <w:sz w:val="20"/>
              </w:rPr>
              <w:t>Targets</w:t>
            </w:r>
          </w:p>
        </w:tc>
        <w:tc>
          <w:tcPr>
            <w:tcW w:w="1054" w:type="dxa"/>
            <w:tcBorders>
              <w:top w:val="single" w:sz="5" w:space="0" w:color="000000"/>
              <w:left w:val="nil"/>
              <w:bottom w:val="single" w:sz="5" w:space="0" w:color="000000"/>
              <w:right w:val="single" w:sz="5" w:space="0" w:color="000000"/>
            </w:tcBorders>
            <w:tcMar>
              <w:top w:w="0" w:type="dxa"/>
              <w:left w:w="20" w:type="dxa"/>
              <w:bottom w:w="0" w:type="dxa"/>
              <w:right w:w="20" w:type="dxa"/>
            </w:tcMar>
          </w:tcPr>
          <w:p w14:paraId="4E23C0FE" w14:textId="77777777" w:rsidR="00841AEB" w:rsidRPr="004212A9" w:rsidRDefault="003066F7" w:rsidP="004212A9">
            <w:pPr>
              <w:tabs>
                <w:tab w:val="left" w:pos="540"/>
                <w:tab w:val="left" w:pos="902"/>
              </w:tabs>
              <w:spacing w:before="240" w:after="120" w:line="360" w:lineRule="auto"/>
              <w:jc w:val="center"/>
              <w:rPr>
                <w:rFonts w:ascii="Arial" w:eastAsia="Arial" w:hAnsi="Arial" w:cs="Arial"/>
                <w:sz w:val="20"/>
                <w:szCs w:val="20"/>
              </w:rPr>
            </w:pPr>
            <w:r w:rsidRPr="004212A9">
              <w:rPr>
                <w:rFonts w:ascii="Arial" w:hAnsi="Arial"/>
                <w:sz w:val="20"/>
              </w:rPr>
              <w:t>Unit</w:t>
            </w:r>
          </w:p>
        </w:tc>
        <w:tc>
          <w:tcPr>
            <w:tcW w:w="1305" w:type="dxa"/>
            <w:tcBorders>
              <w:top w:val="single" w:sz="5" w:space="0" w:color="000000"/>
              <w:left w:val="nil"/>
              <w:bottom w:val="single" w:sz="5" w:space="0" w:color="000000"/>
              <w:right w:val="single" w:sz="5" w:space="0" w:color="000000"/>
            </w:tcBorders>
            <w:tcMar>
              <w:top w:w="0" w:type="dxa"/>
              <w:left w:w="20" w:type="dxa"/>
              <w:bottom w:w="0" w:type="dxa"/>
              <w:right w:w="20" w:type="dxa"/>
            </w:tcMar>
          </w:tcPr>
          <w:p w14:paraId="4CAFB1AE" w14:textId="0DF46A81" w:rsidR="00841AEB" w:rsidRPr="004212A9" w:rsidRDefault="003066F7" w:rsidP="004212A9">
            <w:pPr>
              <w:tabs>
                <w:tab w:val="left" w:pos="540"/>
                <w:tab w:val="left" w:pos="902"/>
              </w:tabs>
              <w:spacing w:before="240" w:after="120" w:line="360" w:lineRule="auto"/>
              <w:jc w:val="center"/>
              <w:rPr>
                <w:rFonts w:ascii="Arial" w:eastAsia="Arial" w:hAnsi="Arial" w:cs="Arial"/>
                <w:sz w:val="20"/>
                <w:szCs w:val="20"/>
              </w:rPr>
            </w:pPr>
            <w:r w:rsidRPr="004212A9">
              <w:rPr>
                <w:rFonts w:ascii="Arial" w:hAnsi="Arial"/>
                <w:sz w:val="20"/>
              </w:rPr>
              <w:t>Plan</w:t>
            </w:r>
          </w:p>
        </w:tc>
        <w:tc>
          <w:tcPr>
            <w:tcW w:w="1455" w:type="dxa"/>
            <w:tcBorders>
              <w:top w:val="single" w:sz="5" w:space="0" w:color="000000"/>
              <w:left w:val="nil"/>
              <w:bottom w:val="single" w:sz="5" w:space="0" w:color="000000"/>
              <w:right w:val="single" w:sz="5" w:space="0" w:color="000000"/>
            </w:tcBorders>
            <w:tcMar>
              <w:top w:w="0" w:type="dxa"/>
              <w:left w:w="20" w:type="dxa"/>
              <w:bottom w:w="0" w:type="dxa"/>
              <w:right w:w="20" w:type="dxa"/>
            </w:tcMar>
          </w:tcPr>
          <w:p w14:paraId="0B403F26" w14:textId="77777777" w:rsidR="00841AEB" w:rsidRPr="004212A9" w:rsidRDefault="003066F7" w:rsidP="004212A9">
            <w:pPr>
              <w:tabs>
                <w:tab w:val="left" w:pos="540"/>
                <w:tab w:val="left" w:pos="902"/>
              </w:tabs>
              <w:spacing w:before="240" w:after="120" w:line="360" w:lineRule="auto"/>
              <w:jc w:val="center"/>
              <w:rPr>
                <w:rFonts w:ascii="Arial" w:eastAsia="Arial" w:hAnsi="Arial" w:cs="Arial"/>
                <w:sz w:val="20"/>
                <w:szCs w:val="20"/>
              </w:rPr>
            </w:pPr>
            <w:r w:rsidRPr="004212A9">
              <w:rPr>
                <w:rFonts w:ascii="Arial" w:hAnsi="Arial"/>
                <w:sz w:val="20"/>
              </w:rPr>
              <w:t>Result</w:t>
            </w:r>
          </w:p>
        </w:tc>
        <w:tc>
          <w:tcPr>
            <w:tcW w:w="1997" w:type="dxa"/>
            <w:tcBorders>
              <w:top w:val="single" w:sz="5" w:space="0" w:color="000000"/>
              <w:left w:val="nil"/>
              <w:bottom w:val="single" w:sz="5" w:space="0" w:color="000000"/>
              <w:right w:val="single" w:sz="5" w:space="0" w:color="000000"/>
            </w:tcBorders>
            <w:tcMar>
              <w:top w:w="0" w:type="dxa"/>
              <w:left w:w="20" w:type="dxa"/>
              <w:bottom w:w="0" w:type="dxa"/>
              <w:right w:w="20" w:type="dxa"/>
            </w:tcMar>
          </w:tcPr>
          <w:p w14:paraId="3AC34D9A" w14:textId="77777777" w:rsidR="00841AEB" w:rsidRPr="004212A9" w:rsidRDefault="003066F7" w:rsidP="004212A9">
            <w:pPr>
              <w:tabs>
                <w:tab w:val="left" w:pos="540"/>
                <w:tab w:val="left" w:pos="902"/>
              </w:tabs>
              <w:spacing w:before="240" w:after="120" w:line="360" w:lineRule="auto"/>
              <w:jc w:val="center"/>
              <w:rPr>
                <w:rFonts w:ascii="Arial" w:eastAsia="Arial" w:hAnsi="Arial" w:cs="Arial"/>
                <w:sz w:val="20"/>
                <w:szCs w:val="20"/>
              </w:rPr>
            </w:pPr>
            <w:r w:rsidRPr="004212A9">
              <w:rPr>
                <w:rFonts w:ascii="Arial" w:hAnsi="Arial"/>
                <w:sz w:val="20"/>
              </w:rPr>
              <w:t>Results/Plan</w:t>
            </w:r>
          </w:p>
        </w:tc>
      </w:tr>
      <w:tr w:rsidR="00841AEB" w:rsidRPr="004212A9" w14:paraId="6C9F28B8" w14:textId="77777777" w:rsidTr="00EB4084">
        <w:trPr>
          <w:trHeight w:val="435"/>
        </w:trPr>
        <w:tc>
          <w:tcPr>
            <w:tcW w:w="3281" w:type="dxa"/>
            <w:tcBorders>
              <w:top w:val="nil"/>
              <w:left w:val="single" w:sz="5" w:space="0" w:color="000000"/>
              <w:bottom w:val="single" w:sz="5" w:space="0" w:color="000000"/>
              <w:right w:val="single" w:sz="5" w:space="0" w:color="000000"/>
            </w:tcBorders>
            <w:tcMar>
              <w:top w:w="0" w:type="dxa"/>
              <w:left w:w="20" w:type="dxa"/>
              <w:bottom w:w="0" w:type="dxa"/>
              <w:right w:w="20" w:type="dxa"/>
            </w:tcMar>
          </w:tcPr>
          <w:p w14:paraId="10C4D3A5" w14:textId="77777777" w:rsidR="00841AEB" w:rsidRPr="004212A9" w:rsidRDefault="003066F7">
            <w:pPr>
              <w:tabs>
                <w:tab w:val="left" w:pos="540"/>
                <w:tab w:val="left" w:pos="902"/>
              </w:tabs>
              <w:spacing w:before="240" w:after="120" w:line="360" w:lineRule="auto"/>
              <w:rPr>
                <w:rFonts w:ascii="Arial" w:eastAsia="Arial" w:hAnsi="Arial" w:cs="Arial"/>
                <w:sz w:val="20"/>
                <w:szCs w:val="20"/>
              </w:rPr>
            </w:pPr>
            <w:r w:rsidRPr="004212A9">
              <w:rPr>
                <w:rFonts w:ascii="Arial" w:hAnsi="Arial"/>
                <w:sz w:val="20"/>
              </w:rPr>
              <w:t>Production and business value</w:t>
            </w:r>
          </w:p>
        </w:tc>
        <w:tc>
          <w:tcPr>
            <w:tcW w:w="1054" w:type="dxa"/>
            <w:tcBorders>
              <w:top w:val="nil"/>
              <w:left w:val="nil"/>
              <w:bottom w:val="single" w:sz="5" w:space="0" w:color="000000"/>
              <w:right w:val="single" w:sz="5" w:space="0" w:color="000000"/>
            </w:tcBorders>
            <w:tcMar>
              <w:top w:w="0" w:type="dxa"/>
              <w:left w:w="20" w:type="dxa"/>
              <w:bottom w:w="0" w:type="dxa"/>
              <w:right w:w="20" w:type="dxa"/>
            </w:tcMar>
          </w:tcPr>
          <w:p w14:paraId="69F82367" w14:textId="77777777" w:rsidR="00841AEB" w:rsidRPr="004212A9" w:rsidRDefault="003066F7" w:rsidP="004212A9">
            <w:pPr>
              <w:tabs>
                <w:tab w:val="left" w:pos="540"/>
                <w:tab w:val="left" w:pos="902"/>
              </w:tabs>
              <w:spacing w:before="240" w:after="120" w:line="360" w:lineRule="auto"/>
              <w:jc w:val="center"/>
              <w:rPr>
                <w:rFonts w:ascii="Arial" w:eastAsia="Arial" w:hAnsi="Arial" w:cs="Arial"/>
                <w:sz w:val="20"/>
                <w:szCs w:val="20"/>
              </w:rPr>
            </w:pPr>
            <w:r w:rsidRPr="004212A9">
              <w:rPr>
                <w:rFonts w:ascii="Arial" w:hAnsi="Arial"/>
                <w:sz w:val="20"/>
              </w:rPr>
              <w:t>Million VND</w:t>
            </w:r>
          </w:p>
        </w:tc>
        <w:tc>
          <w:tcPr>
            <w:tcW w:w="1305" w:type="dxa"/>
            <w:tcBorders>
              <w:top w:val="nil"/>
              <w:left w:val="nil"/>
              <w:bottom w:val="single" w:sz="5" w:space="0" w:color="000000"/>
              <w:right w:val="single" w:sz="5" w:space="0" w:color="000000"/>
            </w:tcBorders>
            <w:tcMar>
              <w:top w:w="0" w:type="dxa"/>
              <w:left w:w="20" w:type="dxa"/>
              <w:bottom w:w="0" w:type="dxa"/>
              <w:right w:w="20" w:type="dxa"/>
            </w:tcMar>
          </w:tcPr>
          <w:p w14:paraId="6F7304AD" w14:textId="77777777" w:rsidR="00841AEB" w:rsidRPr="004212A9" w:rsidRDefault="003066F7" w:rsidP="004212A9">
            <w:pPr>
              <w:tabs>
                <w:tab w:val="left" w:pos="540"/>
                <w:tab w:val="left" w:pos="902"/>
              </w:tabs>
              <w:spacing w:before="240" w:after="120" w:line="360" w:lineRule="auto"/>
              <w:jc w:val="right"/>
              <w:rPr>
                <w:rFonts w:ascii="Arial" w:eastAsia="Arial" w:hAnsi="Arial" w:cs="Arial"/>
                <w:sz w:val="20"/>
                <w:szCs w:val="20"/>
              </w:rPr>
            </w:pPr>
            <w:r w:rsidRPr="004212A9">
              <w:rPr>
                <w:rFonts w:ascii="Arial" w:hAnsi="Arial"/>
                <w:sz w:val="20"/>
              </w:rPr>
              <w:t>2,000</w:t>
            </w:r>
          </w:p>
        </w:tc>
        <w:tc>
          <w:tcPr>
            <w:tcW w:w="1455" w:type="dxa"/>
            <w:tcBorders>
              <w:top w:val="nil"/>
              <w:left w:val="nil"/>
              <w:bottom w:val="single" w:sz="5" w:space="0" w:color="000000"/>
              <w:right w:val="single" w:sz="5" w:space="0" w:color="000000"/>
            </w:tcBorders>
            <w:tcMar>
              <w:top w:w="0" w:type="dxa"/>
              <w:left w:w="20" w:type="dxa"/>
              <w:bottom w:w="0" w:type="dxa"/>
              <w:right w:w="20" w:type="dxa"/>
            </w:tcMar>
          </w:tcPr>
          <w:p w14:paraId="2A874E05" w14:textId="77777777" w:rsidR="00841AEB" w:rsidRPr="004212A9" w:rsidRDefault="003066F7" w:rsidP="004212A9">
            <w:pPr>
              <w:tabs>
                <w:tab w:val="left" w:pos="540"/>
                <w:tab w:val="left" w:pos="902"/>
              </w:tabs>
              <w:spacing w:before="240" w:after="120" w:line="360" w:lineRule="auto"/>
              <w:jc w:val="right"/>
              <w:rPr>
                <w:rFonts w:ascii="Arial" w:eastAsia="Arial" w:hAnsi="Arial" w:cs="Arial"/>
                <w:sz w:val="20"/>
                <w:szCs w:val="20"/>
              </w:rPr>
            </w:pPr>
            <w:r w:rsidRPr="004212A9">
              <w:rPr>
                <w:rFonts w:ascii="Arial" w:hAnsi="Arial"/>
                <w:sz w:val="20"/>
              </w:rPr>
              <w:t>3,119</w:t>
            </w:r>
          </w:p>
        </w:tc>
        <w:tc>
          <w:tcPr>
            <w:tcW w:w="1997" w:type="dxa"/>
            <w:tcBorders>
              <w:top w:val="nil"/>
              <w:left w:val="nil"/>
              <w:bottom w:val="single" w:sz="5" w:space="0" w:color="000000"/>
              <w:right w:val="single" w:sz="5" w:space="0" w:color="000000"/>
            </w:tcBorders>
            <w:tcMar>
              <w:top w:w="0" w:type="dxa"/>
              <w:left w:w="20" w:type="dxa"/>
              <w:bottom w:w="0" w:type="dxa"/>
              <w:right w:w="20" w:type="dxa"/>
            </w:tcMar>
          </w:tcPr>
          <w:p w14:paraId="23C8E252" w14:textId="77777777" w:rsidR="00841AEB" w:rsidRPr="004212A9" w:rsidRDefault="003066F7" w:rsidP="004212A9">
            <w:pPr>
              <w:tabs>
                <w:tab w:val="left" w:pos="540"/>
                <w:tab w:val="left" w:pos="902"/>
              </w:tabs>
              <w:spacing w:before="240" w:after="120" w:line="360" w:lineRule="auto"/>
              <w:jc w:val="right"/>
              <w:rPr>
                <w:rFonts w:ascii="Arial" w:eastAsia="Arial" w:hAnsi="Arial" w:cs="Arial"/>
                <w:sz w:val="20"/>
                <w:szCs w:val="20"/>
              </w:rPr>
            </w:pPr>
            <w:r w:rsidRPr="004212A9">
              <w:rPr>
                <w:rFonts w:ascii="Arial" w:hAnsi="Arial"/>
                <w:sz w:val="20"/>
              </w:rPr>
              <w:t>155.9%</w:t>
            </w:r>
          </w:p>
        </w:tc>
      </w:tr>
      <w:tr w:rsidR="00841AEB" w:rsidRPr="004212A9" w14:paraId="5D1B493E" w14:textId="77777777" w:rsidTr="00EB4084">
        <w:trPr>
          <w:trHeight w:val="435"/>
        </w:trPr>
        <w:tc>
          <w:tcPr>
            <w:tcW w:w="3281" w:type="dxa"/>
            <w:tcBorders>
              <w:top w:val="nil"/>
              <w:left w:val="single" w:sz="5" w:space="0" w:color="000000"/>
              <w:bottom w:val="single" w:sz="5" w:space="0" w:color="000000"/>
              <w:right w:val="single" w:sz="5" w:space="0" w:color="000000"/>
            </w:tcBorders>
            <w:tcMar>
              <w:top w:w="0" w:type="dxa"/>
              <w:left w:w="20" w:type="dxa"/>
              <w:bottom w:w="0" w:type="dxa"/>
              <w:right w:w="20" w:type="dxa"/>
            </w:tcMar>
          </w:tcPr>
          <w:p w14:paraId="30EA1F3E" w14:textId="77777777" w:rsidR="00841AEB" w:rsidRPr="004212A9" w:rsidRDefault="003066F7">
            <w:pPr>
              <w:tabs>
                <w:tab w:val="left" w:pos="540"/>
                <w:tab w:val="left" w:pos="902"/>
              </w:tabs>
              <w:spacing w:before="240" w:after="120" w:line="360" w:lineRule="auto"/>
              <w:rPr>
                <w:rFonts w:ascii="Arial" w:eastAsia="Arial" w:hAnsi="Arial" w:cs="Arial"/>
                <w:sz w:val="20"/>
                <w:szCs w:val="20"/>
              </w:rPr>
            </w:pPr>
            <w:r w:rsidRPr="004212A9">
              <w:rPr>
                <w:rFonts w:ascii="Arial" w:hAnsi="Arial"/>
                <w:sz w:val="20"/>
              </w:rPr>
              <w:t>Revenue and other income</w:t>
            </w:r>
          </w:p>
        </w:tc>
        <w:tc>
          <w:tcPr>
            <w:tcW w:w="1054" w:type="dxa"/>
            <w:tcBorders>
              <w:top w:val="nil"/>
              <w:left w:val="nil"/>
              <w:bottom w:val="single" w:sz="5" w:space="0" w:color="000000"/>
              <w:right w:val="single" w:sz="5" w:space="0" w:color="000000"/>
            </w:tcBorders>
            <w:tcMar>
              <w:top w:w="0" w:type="dxa"/>
              <w:left w:w="20" w:type="dxa"/>
              <w:bottom w:w="0" w:type="dxa"/>
              <w:right w:w="20" w:type="dxa"/>
            </w:tcMar>
          </w:tcPr>
          <w:p w14:paraId="20BD65DE" w14:textId="77777777" w:rsidR="00841AEB" w:rsidRPr="004212A9" w:rsidRDefault="003066F7" w:rsidP="004212A9">
            <w:pPr>
              <w:tabs>
                <w:tab w:val="left" w:pos="540"/>
                <w:tab w:val="left" w:pos="902"/>
              </w:tabs>
              <w:spacing w:before="240" w:after="120" w:line="360" w:lineRule="auto"/>
              <w:jc w:val="center"/>
              <w:rPr>
                <w:rFonts w:ascii="Arial" w:eastAsia="Arial" w:hAnsi="Arial" w:cs="Arial"/>
                <w:sz w:val="20"/>
                <w:szCs w:val="20"/>
              </w:rPr>
            </w:pPr>
            <w:r w:rsidRPr="004212A9">
              <w:rPr>
                <w:rFonts w:ascii="Arial" w:hAnsi="Arial"/>
                <w:sz w:val="20"/>
              </w:rPr>
              <w:t>Million VND</w:t>
            </w:r>
          </w:p>
        </w:tc>
        <w:tc>
          <w:tcPr>
            <w:tcW w:w="1305" w:type="dxa"/>
            <w:tcBorders>
              <w:top w:val="nil"/>
              <w:left w:val="nil"/>
              <w:bottom w:val="single" w:sz="5" w:space="0" w:color="000000"/>
              <w:right w:val="single" w:sz="5" w:space="0" w:color="000000"/>
            </w:tcBorders>
            <w:tcMar>
              <w:top w:w="0" w:type="dxa"/>
              <w:left w:w="20" w:type="dxa"/>
              <w:bottom w:w="0" w:type="dxa"/>
              <w:right w:w="20" w:type="dxa"/>
            </w:tcMar>
          </w:tcPr>
          <w:p w14:paraId="1CF9AF0C" w14:textId="77777777" w:rsidR="00841AEB" w:rsidRPr="004212A9" w:rsidRDefault="003066F7" w:rsidP="004212A9">
            <w:pPr>
              <w:tabs>
                <w:tab w:val="left" w:pos="540"/>
                <w:tab w:val="left" w:pos="902"/>
              </w:tabs>
              <w:spacing w:before="240" w:after="120" w:line="360" w:lineRule="auto"/>
              <w:jc w:val="right"/>
              <w:rPr>
                <w:rFonts w:ascii="Arial" w:eastAsia="Arial" w:hAnsi="Arial" w:cs="Arial"/>
                <w:sz w:val="20"/>
                <w:szCs w:val="20"/>
              </w:rPr>
            </w:pPr>
            <w:r w:rsidRPr="004212A9">
              <w:rPr>
                <w:rFonts w:ascii="Arial" w:hAnsi="Arial"/>
                <w:sz w:val="20"/>
              </w:rPr>
              <w:t>4,765</w:t>
            </w:r>
          </w:p>
        </w:tc>
        <w:tc>
          <w:tcPr>
            <w:tcW w:w="1455" w:type="dxa"/>
            <w:tcBorders>
              <w:top w:val="nil"/>
              <w:left w:val="nil"/>
              <w:bottom w:val="single" w:sz="5" w:space="0" w:color="000000"/>
              <w:right w:val="single" w:sz="5" w:space="0" w:color="000000"/>
            </w:tcBorders>
            <w:tcMar>
              <w:top w:w="0" w:type="dxa"/>
              <w:left w:w="20" w:type="dxa"/>
              <w:bottom w:w="0" w:type="dxa"/>
              <w:right w:w="20" w:type="dxa"/>
            </w:tcMar>
          </w:tcPr>
          <w:p w14:paraId="31BD1815" w14:textId="77777777" w:rsidR="00841AEB" w:rsidRPr="004212A9" w:rsidRDefault="003066F7" w:rsidP="004212A9">
            <w:pPr>
              <w:tabs>
                <w:tab w:val="left" w:pos="540"/>
                <w:tab w:val="left" w:pos="902"/>
              </w:tabs>
              <w:spacing w:before="240" w:after="120" w:line="360" w:lineRule="auto"/>
              <w:jc w:val="right"/>
              <w:rPr>
                <w:rFonts w:ascii="Arial" w:eastAsia="Arial" w:hAnsi="Arial" w:cs="Arial"/>
                <w:sz w:val="20"/>
                <w:szCs w:val="20"/>
              </w:rPr>
            </w:pPr>
            <w:r w:rsidRPr="004212A9">
              <w:rPr>
                <w:rFonts w:ascii="Arial" w:hAnsi="Arial"/>
                <w:sz w:val="20"/>
              </w:rPr>
              <w:t>2,885</w:t>
            </w:r>
          </w:p>
        </w:tc>
        <w:tc>
          <w:tcPr>
            <w:tcW w:w="1997" w:type="dxa"/>
            <w:tcBorders>
              <w:top w:val="nil"/>
              <w:left w:val="nil"/>
              <w:bottom w:val="single" w:sz="5" w:space="0" w:color="000000"/>
              <w:right w:val="single" w:sz="5" w:space="0" w:color="000000"/>
            </w:tcBorders>
            <w:tcMar>
              <w:top w:w="0" w:type="dxa"/>
              <w:left w:w="20" w:type="dxa"/>
              <w:bottom w:w="0" w:type="dxa"/>
              <w:right w:w="20" w:type="dxa"/>
            </w:tcMar>
          </w:tcPr>
          <w:p w14:paraId="3E51A45D" w14:textId="77777777" w:rsidR="00841AEB" w:rsidRPr="004212A9" w:rsidRDefault="003066F7" w:rsidP="004212A9">
            <w:pPr>
              <w:tabs>
                <w:tab w:val="left" w:pos="540"/>
                <w:tab w:val="left" w:pos="902"/>
              </w:tabs>
              <w:spacing w:before="240" w:after="120" w:line="360" w:lineRule="auto"/>
              <w:jc w:val="right"/>
              <w:rPr>
                <w:rFonts w:ascii="Arial" w:eastAsia="Arial" w:hAnsi="Arial" w:cs="Arial"/>
                <w:sz w:val="20"/>
                <w:szCs w:val="20"/>
              </w:rPr>
            </w:pPr>
            <w:r w:rsidRPr="004212A9">
              <w:rPr>
                <w:rFonts w:ascii="Arial" w:hAnsi="Arial"/>
                <w:sz w:val="20"/>
              </w:rPr>
              <w:t>60.6%</w:t>
            </w:r>
          </w:p>
        </w:tc>
      </w:tr>
      <w:tr w:rsidR="00841AEB" w:rsidRPr="004212A9" w14:paraId="4F37BCF3" w14:textId="77777777" w:rsidTr="00EB4084">
        <w:trPr>
          <w:trHeight w:val="435"/>
        </w:trPr>
        <w:tc>
          <w:tcPr>
            <w:tcW w:w="3281" w:type="dxa"/>
            <w:tcBorders>
              <w:top w:val="nil"/>
              <w:left w:val="single" w:sz="5" w:space="0" w:color="000000"/>
              <w:bottom w:val="single" w:sz="4" w:space="0" w:color="auto"/>
              <w:right w:val="single" w:sz="5" w:space="0" w:color="000000"/>
            </w:tcBorders>
            <w:tcMar>
              <w:top w:w="0" w:type="dxa"/>
              <w:left w:w="20" w:type="dxa"/>
              <w:bottom w:w="0" w:type="dxa"/>
              <w:right w:w="20" w:type="dxa"/>
            </w:tcMar>
          </w:tcPr>
          <w:p w14:paraId="7AD5B7F8" w14:textId="77777777" w:rsidR="00841AEB" w:rsidRPr="004212A9" w:rsidRDefault="003066F7">
            <w:pPr>
              <w:tabs>
                <w:tab w:val="left" w:pos="540"/>
                <w:tab w:val="left" w:pos="902"/>
              </w:tabs>
              <w:spacing w:before="240" w:after="120" w:line="360" w:lineRule="auto"/>
              <w:rPr>
                <w:rFonts w:ascii="Arial" w:eastAsia="Arial" w:hAnsi="Arial" w:cs="Arial"/>
                <w:sz w:val="20"/>
                <w:szCs w:val="20"/>
              </w:rPr>
            </w:pPr>
            <w:r w:rsidRPr="004212A9">
              <w:rPr>
                <w:rFonts w:ascii="Arial" w:hAnsi="Arial"/>
                <w:sz w:val="20"/>
              </w:rPr>
              <w:t>Payables to the State budget</w:t>
            </w:r>
          </w:p>
        </w:tc>
        <w:tc>
          <w:tcPr>
            <w:tcW w:w="1054" w:type="dxa"/>
            <w:tcBorders>
              <w:top w:val="nil"/>
              <w:left w:val="nil"/>
              <w:bottom w:val="single" w:sz="4" w:space="0" w:color="auto"/>
              <w:right w:val="single" w:sz="5" w:space="0" w:color="000000"/>
            </w:tcBorders>
            <w:tcMar>
              <w:top w:w="0" w:type="dxa"/>
              <w:left w:w="20" w:type="dxa"/>
              <w:bottom w:w="0" w:type="dxa"/>
              <w:right w:w="20" w:type="dxa"/>
            </w:tcMar>
          </w:tcPr>
          <w:p w14:paraId="73FFAD3C" w14:textId="77777777" w:rsidR="00841AEB" w:rsidRPr="004212A9" w:rsidRDefault="003066F7" w:rsidP="004212A9">
            <w:pPr>
              <w:tabs>
                <w:tab w:val="left" w:pos="540"/>
                <w:tab w:val="left" w:pos="902"/>
              </w:tabs>
              <w:spacing w:before="240" w:after="120" w:line="360" w:lineRule="auto"/>
              <w:jc w:val="center"/>
              <w:rPr>
                <w:rFonts w:ascii="Arial" w:eastAsia="Arial" w:hAnsi="Arial" w:cs="Arial"/>
                <w:sz w:val="20"/>
                <w:szCs w:val="20"/>
              </w:rPr>
            </w:pPr>
            <w:r w:rsidRPr="004212A9">
              <w:rPr>
                <w:rFonts w:ascii="Arial" w:hAnsi="Arial"/>
                <w:sz w:val="20"/>
              </w:rPr>
              <w:t>Million VND</w:t>
            </w:r>
          </w:p>
        </w:tc>
        <w:tc>
          <w:tcPr>
            <w:tcW w:w="1305" w:type="dxa"/>
            <w:tcBorders>
              <w:top w:val="nil"/>
              <w:left w:val="nil"/>
              <w:bottom w:val="single" w:sz="4" w:space="0" w:color="auto"/>
              <w:right w:val="single" w:sz="5" w:space="0" w:color="000000"/>
            </w:tcBorders>
            <w:tcMar>
              <w:top w:w="0" w:type="dxa"/>
              <w:left w:w="20" w:type="dxa"/>
              <w:bottom w:w="0" w:type="dxa"/>
              <w:right w:w="20" w:type="dxa"/>
            </w:tcMar>
          </w:tcPr>
          <w:p w14:paraId="32A5D8A6" w14:textId="77777777" w:rsidR="00841AEB" w:rsidRPr="004212A9" w:rsidRDefault="003066F7" w:rsidP="004212A9">
            <w:pPr>
              <w:tabs>
                <w:tab w:val="left" w:pos="540"/>
                <w:tab w:val="left" w:pos="902"/>
              </w:tabs>
              <w:spacing w:before="240" w:after="120" w:line="360" w:lineRule="auto"/>
              <w:jc w:val="right"/>
              <w:rPr>
                <w:rFonts w:ascii="Arial" w:eastAsia="Arial" w:hAnsi="Arial" w:cs="Arial"/>
                <w:sz w:val="20"/>
                <w:szCs w:val="20"/>
              </w:rPr>
            </w:pPr>
            <w:r w:rsidRPr="004212A9">
              <w:rPr>
                <w:rFonts w:ascii="Arial" w:hAnsi="Arial"/>
                <w:sz w:val="20"/>
              </w:rPr>
              <w:t>762</w:t>
            </w:r>
          </w:p>
        </w:tc>
        <w:tc>
          <w:tcPr>
            <w:tcW w:w="1455" w:type="dxa"/>
            <w:tcBorders>
              <w:top w:val="nil"/>
              <w:left w:val="nil"/>
              <w:bottom w:val="single" w:sz="4" w:space="0" w:color="auto"/>
              <w:right w:val="single" w:sz="5" w:space="0" w:color="000000"/>
            </w:tcBorders>
            <w:tcMar>
              <w:top w:w="0" w:type="dxa"/>
              <w:left w:w="20" w:type="dxa"/>
              <w:bottom w:w="0" w:type="dxa"/>
              <w:right w:w="20" w:type="dxa"/>
            </w:tcMar>
          </w:tcPr>
          <w:p w14:paraId="1F7529E7" w14:textId="77777777" w:rsidR="00841AEB" w:rsidRPr="004212A9" w:rsidRDefault="003066F7" w:rsidP="004212A9">
            <w:pPr>
              <w:tabs>
                <w:tab w:val="left" w:pos="540"/>
                <w:tab w:val="left" w:pos="902"/>
              </w:tabs>
              <w:spacing w:before="240" w:after="120" w:line="360" w:lineRule="auto"/>
              <w:jc w:val="right"/>
              <w:rPr>
                <w:rFonts w:ascii="Arial" w:eastAsia="Arial" w:hAnsi="Arial" w:cs="Arial"/>
                <w:sz w:val="20"/>
                <w:szCs w:val="20"/>
              </w:rPr>
            </w:pPr>
            <w:r w:rsidRPr="004212A9">
              <w:rPr>
                <w:rFonts w:ascii="Arial" w:hAnsi="Arial"/>
                <w:sz w:val="20"/>
              </w:rPr>
              <w:t>1,159</w:t>
            </w:r>
          </w:p>
        </w:tc>
        <w:tc>
          <w:tcPr>
            <w:tcW w:w="1997" w:type="dxa"/>
            <w:tcBorders>
              <w:top w:val="nil"/>
              <w:left w:val="nil"/>
              <w:bottom w:val="single" w:sz="4" w:space="0" w:color="auto"/>
              <w:right w:val="single" w:sz="5" w:space="0" w:color="000000"/>
            </w:tcBorders>
            <w:tcMar>
              <w:top w:w="0" w:type="dxa"/>
              <w:left w:w="20" w:type="dxa"/>
              <w:bottom w:w="0" w:type="dxa"/>
              <w:right w:w="20" w:type="dxa"/>
            </w:tcMar>
          </w:tcPr>
          <w:p w14:paraId="6CD55556" w14:textId="77777777" w:rsidR="00841AEB" w:rsidRPr="004212A9" w:rsidRDefault="003066F7" w:rsidP="004212A9">
            <w:pPr>
              <w:tabs>
                <w:tab w:val="left" w:pos="540"/>
                <w:tab w:val="left" w:pos="902"/>
              </w:tabs>
              <w:spacing w:before="240" w:after="120" w:line="360" w:lineRule="auto"/>
              <w:jc w:val="right"/>
              <w:rPr>
                <w:rFonts w:ascii="Arial" w:eastAsia="Arial" w:hAnsi="Arial" w:cs="Arial"/>
                <w:sz w:val="20"/>
                <w:szCs w:val="20"/>
              </w:rPr>
            </w:pPr>
            <w:r w:rsidRPr="004212A9">
              <w:rPr>
                <w:rFonts w:ascii="Arial" w:hAnsi="Arial"/>
                <w:sz w:val="20"/>
              </w:rPr>
              <w:t>152.1%</w:t>
            </w:r>
          </w:p>
        </w:tc>
      </w:tr>
      <w:tr w:rsidR="00841AEB" w:rsidRPr="004212A9" w14:paraId="41AD74BB" w14:textId="77777777" w:rsidTr="00EB4084">
        <w:trPr>
          <w:trHeight w:val="435"/>
        </w:trPr>
        <w:tc>
          <w:tcPr>
            <w:tcW w:w="3281"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tcPr>
          <w:p w14:paraId="2858A818" w14:textId="77777777" w:rsidR="00841AEB" w:rsidRPr="004212A9" w:rsidRDefault="003066F7">
            <w:pPr>
              <w:tabs>
                <w:tab w:val="left" w:pos="540"/>
                <w:tab w:val="left" w:pos="902"/>
              </w:tabs>
              <w:spacing w:before="240" w:after="120" w:line="360" w:lineRule="auto"/>
              <w:rPr>
                <w:rFonts w:ascii="Arial" w:eastAsia="Arial" w:hAnsi="Arial" w:cs="Arial"/>
                <w:sz w:val="20"/>
                <w:szCs w:val="20"/>
              </w:rPr>
            </w:pPr>
            <w:r w:rsidRPr="004212A9">
              <w:rPr>
                <w:rFonts w:ascii="Arial" w:hAnsi="Arial"/>
                <w:sz w:val="20"/>
              </w:rPr>
              <w:lastRenderedPageBreak/>
              <w:t>Profit before tax</w:t>
            </w:r>
          </w:p>
        </w:tc>
        <w:tc>
          <w:tcPr>
            <w:tcW w:w="1054"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tcPr>
          <w:p w14:paraId="6C35772F" w14:textId="77777777" w:rsidR="00841AEB" w:rsidRPr="004212A9" w:rsidRDefault="003066F7" w:rsidP="004212A9">
            <w:pPr>
              <w:tabs>
                <w:tab w:val="left" w:pos="540"/>
                <w:tab w:val="left" w:pos="902"/>
              </w:tabs>
              <w:spacing w:before="240" w:after="120" w:line="360" w:lineRule="auto"/>
              <w:jc w:val="center"/>
              <w:rPr>
                <w:rFonts w:ascii="Arial" w:eastAsia="Arial" w:hAnsi="Arial" w:cs="Arial"/>
                <w:sz w:val="20"/>
                <w:szCs w:val="20"/>
              </w:rPr>
            </w:pPr>
            <w:r w:rsidRPr="004212A9">
              <w:rPr>
                <w:rFonts w:ascii="Arial" w:hAnsi="Arial"/>
                <w:sz w:val="20"/>
              </w:rPr>
              <w:t>Million VND</w:t>
            </w:r>
          </w:p>
        </w:tc>
        <w:tc>
          <w:tcPr>
            <w:tcW w:w="1305"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tcPr>
          <w:p w14:paraId="5A2A3771" w14:textId="77777777" w:rsidR="00841AEB" w:rsidRPr="004212A9" w:rsidRDefault="003066F7" w:rsidP="004212A9">
            <w:pPr>
              <w:tabs>
                <w:tab w:val="left" w:pos="540"/>
                <w:tab w:val="left" w:pos="902"/>
              </w:tabs>
              <w:spacing w:before="240" w:after="120" w:line="360" w:lineRule="auto"/>
              <w:jc w:val="right"/>
              <w:rPr>
                <w:rFonts w:ascii="Arial" w:eastAsia="Arial" w:hAnsi="Arial" w:cs="Arial"/>
                <w:sz w:val="20"/>
                <w:szCs w:val="20"/>
              </w:rPr>
            </w:pPr>
            <w:r w:rsidRPr="004212A9">
              <w:rPr>
                <w:rFonts w:ascii="Arial" w:hAnsi="Arial"/>
                <w:sz w:val="20"/>
              </w:rPr>
              <w:t>(827)</w:t>
            </w:r>
          </w:p>
        </w:tc>
        <w:tc>
          <w:tcPr>
            <w:tcW w:w="1455"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tcPr>
          <w:p w14:paraId="209DBD26" w14:textId="60BB6212" w:rsidR="00841AEB" w:rsidRPr="004212A9" w:rsidRDefault="003066F7" w:rsidP="004212A9">
            <w:pPr>
              <w:tabs>
                <w:tab w:val="left" w:pos="540"/>
                <w:tab w:val="left" w:pos="902"/>
              </w:tabs>
              <w:spacing w:before="240" w:after="120" w:line="360" w:lineRule="auto"/>
              <w:jc w:val="right"/>
              <w:rPr>
                <w:rFonts w:ascii="Arial" w:eastAsia="Arial" w:hAnsi="Arial" w:cs="Arial"/>
                <w:sz w:val="20"/>
                <w:szCs w:val="20"/>
              </w:rPr>
            </w:pPr>
            <w:r w:rsidRPr="004212A9">
              <w:rPr>
                <w:rFonts w:ascii="Arial" w:hAnsi="Arial"/>
                <w:sz w:val="20"/>
              </w:rPr>
              <w:t>(3</w:t>
            </w:r>
            <w:r w:rsidR="004212A9">
              <w:rPr>
                <w:rFonts w:ascii="Arial" w:hAnsi="Arial"/>
                <w:sz w:val="20"/>
              </w:rPr>
              <w:t>,</w:t>
            </w:r>
            <w:bookmarkStart w:id="0" w:name="_GoBack"/>
            <w:bookmarkEnd w:id="0"/>
            <w:r w:rsidRPr="004212A9">
              <w:rPr>
                <w:rFonts w:ascii="Arial" w:hAnsi="Arial"/>
                <w:sz w:val="20"/>
              </w:rPr>
              <w:t>462)</w:t>
            </w:r>
          </w:p>
        </w:tc>
        <w:tc>
          <w:tcPr>
            <w:tcW w:w="1997"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tcPr>
          <w:p w14:paraId="5E6E1F23" w14:textId="77777777" w:rsidR="00841AEB" w:rsidRPr="004212A9" w:rsidRDefault="003066F7" w:rsidP="004212A9">
            <w:pPr>
              <w:tabs>
                <w:tab w:val="left" w:pos="540"/>
                <w:tab w:val="left" w:pos="902"/>
              </w:tabs>
              <w:spacing w:before="240" w:after="120" w:line="360" w:lineRule="auto"/>
              <w:jc w:val="right"/>
              <w:rPr>
                <w:rFonts w:ascii="Arial" w:eastAsia="Arial" w:hAnsi="Arial" w:cs="Arial"/>
                <w:sz w:val="20"/>
                <w:szCs w:val="20"/>
              </w:rPr>
            </w:pPr>
            <w:r w:rsidRPr="004212A9">
              <w:rPr>
                <w:rFonts w:ascii="Arial" w:hAnsi="Arial"/>
                <w:sz w:val="20"/>
              </w:rPr>
              <w:t>(418.6%)</w:t>
            </w:r>
          </w:p>
        </w:tc>
      </w:tr>
      <w:tr w:rsidR="00841AEB" w14:paraId="34269B66" w14:textId="77777777" w:rsidTr="00EB4084">
        <w:trPr>
          <w:trHeight w:val="435"/>
        </w:trPr>
        <w:tc>
          <w:tcPr>
            <w:tcW w:w="3281"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tcPr>
          <w:p w14:paraId="3663FCCE" w14:textId="77777777" w:rsidR="00841AEB" w:rsidRPr="004212A9" w:rsidRDefault="003066F7">
            <w:pPr>
              <w:tabs>
                <w:tab w:val="left" w:pos="540"/>
                <w:tab w:val="left" w:pos="902"/>
              </w:tabs>
              <w:spacing w:before="240" w:after="120" w:line="360" w:lineRule="auto"/>
              <w:rPr>
                <w:rFonts w:ascii="Arial" w:eastAsia="Arial" w:hAnsi="Arial" w:cs="Arial"/>
                <w:sz w:val="20"/>
                <w:szCs w:val="20"/>
              </w:rPr>
            </w:pPr>
            <w:r w:rsidRPr="004212A9">
              <w:rPr>
                <w:rFonts w:ascii="Arial" w:hAnsi="Arial"/>
                <w:sz w:val="20"/>
              </w:rPr>
              <w:t>Accumulated loss to December 31, 2023</w:t>
            </w:r>
          </w:p>
        </w:tc>
        <w:tc>
          <w:tcPr>
            <w:tcW w:w="1054"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tcPr>
          <w:p w14:paraId="34E640A1" w14:textId="77777777" w:rsidR="00841AEB" w:rsidRPr="004212A9" w:rsidRDefault="003066F7" w:rsidP="004212A9">
            <w:pPr>
              <w:tabs>
                <w:tab w:val="left" w:pos="540"/>
                <w:tab w:val="left" w:pos="902"/>
              </w:tabs>
              <w:spacing w:before="240" w:after="120" w:line="360" w:lineRule="auto"/>
              <w:jc w:val="center"/>
              <w:rPr>
                <w:rFonts w:ascii="Arial" w:eastAsia="Arial" w:hAnsi="Arial" w:cs="Arial"/>
                <w:sz w:val="20"/>
                <w:szCs w:val="20"/>
              </w:rPr>
            </w:pPr>
            <w:r w:rsidRPr="004212A9">
              <w:rPr>
                <w:rFonts w:ascii="Arial" w:hAnsi="Arial"/>
                <w:sz w:val="20"/>
              </w:rPr>
              <w:t>Million VND</w:t>
            </w:r>
          </w:p>
        </w:tc>
        <w:tc>
          <w:tcPr>
            <w:tcW w:w="1305"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tcPr>
          <w:p w14:paraId="004A3982" w14:textId="77777777" w:rsidR="00841AEB" w:rsidRPr="004212A9" w:rsidRDefault="003066F7" w:rsidP="004212A9">
            <w:pPr>
              <w:tabs>
                <w:tab w:val="left" w:pos="540"/>
                <w:tab w:val="left" w:pos="902"/>
              </w:tabs>
              <w:spacing w:before="240" w:after="120" w:line="360" w:lineRule="auto"/>
              <w:jc w:val="right"/>
              <w:rPr>
                <w:rFonts w:ascii="Arial" w:eastAsia="Arial" w:hAnsi="Arial" w:cs="Arial"/>
                <w:sz w:val="20"/>
                <w:szCs w:val="20"/>
              </w:rPr>
            </w:pPr>
            <w:r w:rsidRPr="004212A9">
              <w:rPr>
                <w:rFonts w:ascii="Arial" w:hAnsi="Arial"/>
                <w:sz w:val="20"/>
              </w:rPr>
              <w:t xml:space="preserve"> </w:t>
            </w:r>
          </w:p>
        </w:tc>
        <w:tc>
          <w:tcPr>
            <w:tcW w:w="1455"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tcPr>
          <w:p w14:paraId="3A8CDB9C" w14:textId="77777777" w:rsidR="00841AEB" w:rsidRDefault="003066F7" w:rsidP="004212A9">
            <w:pPr>
              <w:tabs>
                <w:tab w:val="left" w:pos="540"/>
                <w:tab w:val="left" w:pos="902"/>
              </w:tabs>
              <w:spacing w:before="240" w:after="120" w:line="360" w:lineRule="auto"/>
              <w:jc w:val="right"/>
              <w:rPr>
                <w:rFonts w:ascii="Arial" w:eastAsia="Arial" w:hAnsi="Arial" w:cs="Arial"/>
                <w:sz w:val="20"/>
                <w:szCs w:val="20"/>
              </w:rPr>
            </w:pPr>
            <w:r w:rsidRPr="004212A9">
              <w:rPr>
                <w:rFonts w:ascii="Arial" w:hAnsi="Arial"/>
                <w:sz w:val="20"/>
              </w:rPr>
              <w:t>(232,947)</w:t>
            </w:r>
          </w:p>
        </w:tc>
        <w:tc>
          <w:tcPr>
            <w:tcW w:w="1997"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tcPr>
          <w:p w14:paraId="48D1D008" w14:textId="77777777" w:rsidR="00841AEB" w:rsidRDefault="003066F7" w:rsidP="004212A9">
            <w:pPr>
              <w:tabs>
                <w:tab w:val="left" w:pos="540"/>
                <w:tab w:val="left" w:pos="902"/>
              </w:tabs>
              <w:spacing w:before="240" w:after="120" w:line="360" w:lineRule="auto"/>
              <w:jc w:val="right"/>
              <w:rPr>
                <w:rFonts w:ascii="Arial" w:eastAsia="Arial" w:hAnsi="Arial" w:cs="Arial"/>
                <w:sz w:val="20"/>
                <w:szCs w:val="20"/>
              </w:rPr>
            </w:pPr>
            <w:r>
              <w:rPr>
                <w:rFonts w:ascii="Arial" w:hAnsi="Arial"/>
                <w:sz w:val="20"/>
              </w:rPr>
              <w:t xml:space="preserve"> </w:t>
            </w:r>
          </w:p>
        </w:tc>
      </w:tr>
    </w:tbl>
    <w:p w14:paraId="366C2FCF" w14:textId="11F1C5A0" w:rsidR="00841AEB" w:rsidRDefault="003066F7" w:rsidP="00EB4084">
      <w:pPr>
        <w:numPr>
          <w:ilvl w:val="0"/>
          <w:numId w:val="2"/>
        </w:numPr>
        <w:pBdr>
          <w:top w:val="nil"/>
          <w:left w:val="nil"/>
          <w:bottom w:val="nil"/>
          <w:right w:val="nil"/>
          <w:between w:val="nil"/>
        </w:pBdr>
        <w:tabs>
          <w:tab w:val="left" w:pos="540"/>
          <w:tab w:val="left" w:pos="912"/>
        </w:tabs>
        <w:spacing w:after="120" w:line="360" w:lineRule="auto"/>
        <w:jc w:val="both"/>
        <w:rPr>
          <w:rFonts w:ascii="Arial" w:eastAsia="Arial" w:hAnsi="Arial" w:cs="Arial"/>
          <w:sz w:val="20"/>
          <w:szCs w:val="20"/>
        </w:rPr>
      </w:pPr>
      <w:r>
        <w:rPr>
          <w:rFonts w:ascii="Arial" w:hAnsi="Arial"/>
          <w:sz w:val="20"/>
        </w:rPr>
        <w:t>Not approve the “Financial Statements 2023" audited by Southern Auditing &amp; Accounting Financial Consulting Services Company Limited</w:t>
      </w:r>
      <w:r>
        <w:rPr>
          <w:rFonts w:ascii="Arial" w:hAnsi="Arial"/>
          <w:sz w:val="20"/>
        </w:rPr>
        <w:tab/>
        <w:t>(due to the auditor's refusal to give an audit opinion).</w:t>
      </w:r>
    </w:p>
    <w:p w14:paraId="6F72DFAE" w14:textId="77777777" w:rsidR="00841AEB" w:rsidRDefault="003066F7" w:rsidP="00EB4084">
      <w:pPr>
        <w:numPr>
          <w:ilvl w:val="0"/>
          <w:numId w:val="2"/>
        </w:numPr>
        <w:pBdr>
          <w:top w:val="nil"/>
          <w:left w:val="nil"/>
          <w:bottom w:val="nil"/>
          <w:right w:val="nil"/>
          <w:between w:val="nil"/>
        </w:pBdr>
        <w:tabs>
          <w:tab w:val="left" w:pos="540"/>
          <w:tab w:val="left" w:pos="902"/>
        </w:tabs>
        <w:spacing w:after="120" w:line="360" w:lineRule="auto"/>
        <w:jc w:val="both"/>
        <w:rPr>
          <w:rFonts w:ascii="Arial" w:eastAsia="Arial" w:hAnsi="Arial" w:cs="Arial"/>
          <w:sz w:val="20"/>
          <w:szCs w:val="20"/>
        </w:rPr>
      </w:pPr>
      <w:r>
        <w:rPr>
          <w:rFonts w:ascii="Arial" w:hAnsi="Arial"/>
          <w:sz w:val="20"/>
        </w:rPr>
        <w:t>Approve on not making profit distribution in 2023 (due to production and business losses).</w:t>
      </w:r>
    </w:p>
    <w:p w14:paraId="24FBFAFE" w14:textId="77777777" w:rsidR="00841AEB" w:rsidRDefault="003066F7" w:rsidP="00EB4084">
      <w:pPr>
        <w:numPr>
          <w:ilvl w:val="0"/>
          <w:numId w:val="2"/>
        </w:numPr>
        <w:pBdr>
          <w:top w:val="nil"/>
          <w:left w:val="nil"/>
          <w:bottom w:val="nil"/>
          <w:right w:val="nil"/>
          <w:between w:val="nil"/>
        </w:pBdr>
        <w:tabs>
          <w:tab w:val="left" w:pos="540"/>
          <w:tab w:val="left" w:pos="902"/>
        </w:tabs>
        <w:spacing w:after="120" w:line="360" w:lineRule="auto"/>
        <w:jc w:val="both"/>
        <w:rPr>
          <w:rFonts w:ascii="Arial" w:eastAsia="Arial" w:hAnsi="Arial" w:cs="Arial"/>
          <w:sz w:val="20"/>
          <w:szCs w:val="20"/>
        </w:rPr>
      </w:pPr>
      <w:r>
        <w:rPr>
          <w:rFonts w:ascii="Arial" w:hAnsi="Arial"/>
          <w:sz w:val="20"/>
        </w:rPr>
        <w:t>Approve on assigning the Board of Directors to select and appoint an audit company on the list approved by the Ministry of Finance and the State Securities Commission and it is qualified to audit the Financial Statements 2024 of the Company.</w:t>
      </w:r>
    </w:p>
    <w:p w14:paraId="71D8A196" w14:textId="77777777" w:rsidR="00841AEB" w:rsidRDefault="003066F7" w:rsidP="00EB4084">
      <w:pPr>
        <w:numPr>
          <w:ilvl w:val="0"/>
          <w:numId w:val="2"/>
        </w:numPr>
        <w:pBdr>
          <w:top w:val="nil"/>
          <w:left w:val="nil"/>
          <w:bottom w:val="nil"/>
          <w:right w:val="nil"/>
          <w:between w:val="nil"/>
        </w:pBdr>
        <w:tabs>
          <w:tab w:val="left" w:pos="540"/>
          <w:tab w:val="left" w:pos="912"/>
        </w:tabs>
        <w:spacing w:after="120" w:line="360" w:lineRule="auto"/>
        <w:jc w:val="both"/>
        <w:rPr>
          <w:rFonts w:ascii="Arial" w:eastAsia="Arial" w:hAnsi="Arial" w:cs="Arial"/>
          <w:sz w:val="20"/>
          <w:szCs w:val="20"/>
        </w:rPr>
        <w:sectPr w:rsidR="00841AEB">
          <w:pgSz w:w="11906" w:h="16838"/>
          <w:pgMar w:top="1440" w:right="1440" w:bottom="1440" w:left="1440" w:header="0" w:footer="3" w:gutter="0"/>
          <w:pgNumType w:start="1"/>
          <w:cols w:space="720"/>
        </w:sectPr>
      </w:pPr>
      <w:r>
        <w:rPr>
          <w:rFonts w:ascii="Arial" w:hAnsi="Arial"/>
          <w:sz w:val="20"/>
        </w:rPr>
        <w:t>Remuneration settlement for the Board of Directors and the Supervisory Board in 2023 and the remuneration plan for 2024:</w:t>
      </w:r>
    </w:p>
    <w:p w14:paraId="1EBBE3FE" w14:textId="7BA851C0" w:rsidR="00841AEB" w:rsidRDefault="003066F7" w:rsidP="00EB4084">
      <w:pPr>
        <w:numPr>
          <w:ilvl w:val="0"/>
          <w:numId w:val="3"/>
        </w:numPr>
        <w:pBdr>
          <w:top w:val="nil"/>
          <w:left w:val="nil"/>
          <w:bottom w:val="nil"/>
          <w:right w:val="nil"/>
          <w:between w:val="nil"/>
        </w:pBdr>
        <w:tabs>
          <w:tab w:val="left" w:pos="442"/>
          <w:tab w:val="left" w:pos="540"/>
        </w:tabs>
        <w:spacing w:after="120" w:line="360" w:lineRule="auto"/>
        <w:jc w:val="both"/>
        <w:rPr>
          <w:rFonts w:ascii="Arial" w:eastAsia="Arial" w:hAnsi="Arial" w:cs="Arial"/>
          <w:sz w:val="20"/>
          <w:szCs w:val="20"/>
        </w:rPr>
      </w:pPr>
      <w:r>
        <w:rPr>
          <w:rFonts w:ascii="Arial" w:hAnsi="Arial"/>
          <w:sz w:val="20"/>
        </w:rPr>
        <w:lastRenderedPageBreak/>
        <w:t>Not approve the Remuneration settlement for the Board of Directors and the Supervisory Board in 2023.</w:t>
      </w:r>
    </w:p>
    <w:p w14:paraId="29263B5A" w14:textId="77777777" w:rsidR="00841AEB" w:rsidRDefault="003066F7" w:rsidP="00EB4084">
      <w:pPr>
        <w:numPr>
          <w:ilvl w:val="0"/>
          <w:numId w:val="3"/>
        </w:numPr>
        <w:pBdr>
          <w:top w:val="nil"/>
          <w:left w:val="nil"/>
          <w:bottom w:val="nil"/>
          <w:right w:val="nil"/>
          <w:between w:val="nil"/>
        </w:pBdr>
        <w:tabs>
          <w:tab w:val="left" w:pos="442"/>
          <w:tab w:val="left" w:pos="540"/>
        </w:tabs>
        <w:spacing w:after="120" w:line="360" w:lineRule="auto"/>
        <w:jc w:val="both"/>
        <w:rPr>
          <w:rFonts w:ascii="Arial" w:eastAsia="Arial" w:hAnsi="Arial" w:cs="Arial"/>
          <w:sz w:val="20"/>
          <w:szCs w:val="20"/>
        </w:rPr>
      </w:pPr>
      <w:r>
        <w:rPr>
          <w:rFonts w:ascii="Arial" w:hAnsi="Arial"/>
          <w:sz w:val="20"/>
        </w:rPr>
        <w:t>Remuneration plan for the Board of Directors and the Supervisory Board in 2024</w:t>
      </w:r>
    </w:p>
    <w:p w14:paraId="3ABFA863" w14:textId="77777777" w:rsidR="00841AEB" w:rsidRDefault="003066F7" w:rsidP="00EB4084">
      <w:pPr>
        <w:pBdr>
          <w:top w:val="nil"/>
          <w:left w:val="nil"/>
          <w:bottom w:val="nil"/>
          <w:right w:val="nil"/>
          <w:between w:val="nil"/>
        </w:pBdr>
        <w:tabs>
          <w:tab w:val="left" w:pos="540"/>
          <w:tab w:val="left" w:pos="6581"/>
          <w:tab w:val="left" w:pos="7094"/>
        </w:tabs>
        <w:spacing w:after="120" w:line="360" w:lineRule="auto"/>
        <w:jc w:val="both"/>
        <w:rPr>
          <w:rFonts w:ascii="Arial" w:eastAsia="Arial" w:hAnsi="Arial" w:cs="Arial"/>
          <w:sz w:val="20"/>
          <w:szCs w:val="20"/>
        </w:rPr>
      </w:pPr>
      <w:r>
        <w:rPr>
          <w:rFonts w:ascii="Arial" w:hAnsi="Arial"/>
          <w:sz w:val="20"/>
        </w:rPr>
        <w:t>When completing the production, business and investment plan 2024 assigned by the General Meeting of Shareholders, the Company's remuneration for the Board of Directors and the Supervisory Board in 2024 will be as follows:</w:t>
      </w:r>
      <w:r>
        <w:rPr>
          <w:rFonts w:ascii="Arial" w:hAnsi="Arial"/>
          <w:sz w:val="20"/>
        </w:rPr>
        <w:tab/>
      </w:r>
      <w:r>
        <w:rPr>
          <w:rFonts w:ascii="Arial" w:hAnsi="Arial"/>
          <w:sz w:val="20"/>
        </w:rPr>
        <w:tab/>
      </w:r>
    </w:p>
    <w:tbl>
      <w:tblPr>
        <w:tblStyle w:val="a1"/>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
        <w:gridCol w:w="3445"/>
        <w:gridCol w:w="2473"/>
        <w:gridCol w:w="2324"/>
      </w:tblGrid>
      <w:tr w:rsidR="00841AEB" w14:paraId="1EB0C63C" w14:textId="77777777" w:rsidTr="00EB4084">
        <w:tc>
          <w:tcPr>
            <w:tcW w:w="938" w:type="dxa"/>
          </w:tcPr>
          <w:p w14:paraId="65ABBCBF" w14:textId="77777777" w:rsidR="00841AEB" w:rsidRDefault="003066F7">
            <w:pPr>
              <w:pBdr>
                <w:top w:val="nil"/>
                <w:left w:val="nil"/>
                <w:bottom w:val="nil"/>
                <w:right w:val="nil"/>
                <w:between w:val="nil"/>
              </w:pBdr>
              <w:tabs>
                <w:tab w:val="left" w:pos="540"/>
                <w:tab w:val="left" w:pos="4963"/>
                <w:tab w:val="left" w:pos="6787"/>
              </w:tabs>
              <w:spacing w:after="120" w:line="360" w:lineRule="auto"/>
              <w:rPr>
                <w:rFonts w:ascii="Arial" w:eastAsia="Arial" w:hAnsi="Arial" w:cs="Arial"/>
                <w:sz w:val="20"/>
                <w:szCs w:val="20"/>
              </w:rPr>
            </w:pPr>
            <w:r>
              <w:rPr>
                <w:rFonts w:ascii="Arial" w:hAnsi="Arial"/>
                <w:sz w:val="20"/>
              </w:rPr>
              <w:t>No.</w:t>
            </w:r>
          </w:p>
        </w:tc>
        <w:tc>
          <w:tcPr>
            <w:tcW w:w="3445" w:type="dxa"/>
          </w:tcPr>
          <w:p w14:paraId="0874E2FA" w14:textId="77777777" w:rsidR="00841AEB" w:rsidRDefault="003066F7">
            <w:pPr>
              <w:pBdr>
                <w:top w:val="nil"/>
                <w:left w:val="nil"/>
                <w:bottom w:val="nil"/>
                <w:right w:val="nil"/>
                <w:between w:val="nil"/>
              </w:pBdr>
              <w:tabs>
                <w:tab w:val="left" w:pos="540"/>
                <w:tab w:val="left" w:pos="4963"/>
                <w:tab w:val="left" w:pos="6787"/>
              </w:tabs>
              <w:spacing w:after="120" w:line="360" w:lineRule="auto"/>
              <w:rPr>
                <w:rFonts w:ascii="Arial" w:eastAsia="Arial" w:hAnsi="Arial" w:cs="Arial"/>
                <w:sz w:val="20"/>
                <w:szCs w:val="20"/>
              </w:rPr>
            </w:pPr>
            <w:r>
              <w:rPr>
                <w:rFonts w:ascii="Arial" w:hAnsi="Arial"/>
                <w:sz w:val="20"/>
              </w:rPr>
              <w:t>Position</w:t>
            </w:r>
          </w:p>
        </w:tc>
        <w:tc>
          <w:tcPr>
            <w:tcW w:w="2473" w:type="dxa"/>
          </w:tcPr>
          <w:p w14:paraId="07344067" w14:textId="77777777" w:rsidR="00841AEB" w:rsidRDefault="003066F7">
            <w:pPr>
              <w:pBdr>
                <w:top w:val="nil"/>
                <w:left w:val="nil"/>
                <w:bottom w:val="nil"/>
                <w:right w:val="nil"/>
                <w:between w:val="nil"/>
              </w:pBdr>
              <w:tabs>
                <w:tab w:val="left" w:pos="540"/>
                <w:tab w:val="left" w:pos="4963"/>
                <w:tab w:val="left" w:pos="6787"/>
              </w:tabs>
              <w:spacing w:after="120" w:line="360" w:lineRule="auto"/>
              <w:rPr>
                <w:rFonts w:ascii="Arial" w:eastAsia="Arial" w:hAnsi="Arial" w:cs="Arial"/>
                <w:sz w:val="20"/>
                <w:szCs w:val="20"/>
              </w:rPr>
            </w:pPr>
            <w:r>
              <w:rPr>
                <w:rFonts w:ascii="Arial" w:hAnsi="Arial"/>
                <w:sz w:val="20"/>
              </w:rPr>
              <w:t>Remuneration (VND/person/month)</w:t>
            </w:r>
          </w:p>
        </w:tc>
        <w:tc>
          <w:tcPr>
            <w:tcW w:w="2324" w:type="dxa"/>
          </w:tcPr>
          <w:p w14:paraId="7A977001" w14:textId="77777777" w:rsidR="00841AEB" w:rsidRDefault="003066F7">
            <w:pPr>
              <w:pBdr>
                <w:top w:val="nil"/>
                <w:left w:val="nil"/>
                <w:bottom w:val="nil"/>
                <w:right w:val="nil"/>
                <w:between w:val="nil"/>
              </w:pBdr>
              <w:tabs>
                <w:tab w:val="left" w:pos="540"/>
                <w:tab w:val="left" w:pos="4963"/>
                <w:tab w:val="left" w:pos="6787"/>
              </w:tabs>
              <w:spacing w:after="120" w:line="360" w:lineRule="auto"/>
              <w:rPr>
                <w:rFonts w:ascii="Arial" w:eastAsia="Arial" w:hAnsi="Arial" w:cs="Arial"/>
                <w:sz w:val="20"/>
                <w:szCs w:val="20"/>
              </w:rPr>
            </w:pPr>
            <w:r>
              <w:rPr>
                <w:rFonts w:ascii="Arial" w:hAnsi="Arial"/>
                <w:sz w:val="20"/>
              </w:rPr>
              <w:t>Note</w:t>
            </w:r>
          </w:p>
        </w:tc>
      </w:tr>
      <w:tr w:rsidR="00841AEB" w14:paraId="2BBF0165" w14:textId="77777777" w:rsidTr="00EB4084">
        <w:tc>
          <w:tcPr>
            <w:tcW w:w="938" w:type="dxa"/>
          </w:tcPr>
          <w:p w14:paraId="7EB1A69D" w14:textId="77777777" w:rsidR="00841AEB" w:rsidRDefault="003066F7">
            <w:pPr>
              <w:pBdr>
                <w:top w:val="nil"/>
                <w:left w:val="nil"/>
                <w:bottom w:val="nil"/>
                <w:right w:val="nil"/>
                <w:between w:val="nil"/>
              </w:pBdr>
              <w:tabs>
                <w:tab w:val="left" w:pos="540"/>
                <w:tab w:val="left" w:pos="4963"/>
                <w:tab w:val="left" w:pos="6787"/>
              </w:tabs>
              <w:spacing w:after="120" w:line="360" w:lineRule="auto"/>
              <w:rPr>
                <w:rFonts w:ascii="Arial" w:eastAsia="Arial" w:hAnsi="Arial" w:cs="Arial"/>
                <w:sz w:val="20"/>
                <w:szCs w:val="20"/>
              </w:rPr>
            </w:pPr>
            <w:r>
              <w:rPr>
                <w:rFonts w:ascii="Arial" w:hAnsi="Arial"/>
                <w:sz w:val="20"/>
              </w:rPr>
              <w:t>1</w:t>
            </w:r>
          </w:p>
        </w:tc>
        <w:tc>
          <w:tcPr>
            <w:tcW w:w="3445" w:type="dxa"/>
          </w:tcPr>
          <w:p w14:paraId="0051C56F" w14:textId="77777777" w:rsidR="00841AEB" w:rsidRDefault="003066F7">
            <w:pPr>
              <w:pBdr>
                <w:top w:val="nil"/>
                <w:left w:val="nil"/>
                <w:bottom w:val="nil"/>
                <w:right w:val="nil"/>
                <w:between w:val="nil"/>
              </w:pBdr>
              <w:tabs>
                <w:tab w:val="left" w:pos="540"/>
                <w:tab w:val="left" w:pos="4963"/>
                <w:tab w:val="left" w:pos="6787"/>
              </w:tabs>
              <w:spacing w:after="120" w:line="360" w:lineRule="auto"/>
              <w:rPr>
                <w:rFonts w:ascii="Arial" w:eastAsia="Arial" w:hAnsi="Arial" w:cs="Arial"/>
                <w:sz w:val="20"/>
                <w:szCs w:val="20"/>
              </w:rPr>
            </w:pPr>
            <w:r>
              <w:rPr>
                <w:rFonts w:ascii="Arial" w:hAnsi="Arial"/>
                <w:sz w:val="20"/>
              </w:rPr>
              <w:t>Non-executive Chair of the Board of Directors</w:t>
            </w:r>
          </w:p>
        </w:tc>
        <w:tc>
          <w:tcPr>
            <w:tcW w:w="2473" w:type="dxa"/>
          </w:tcPr>
          <w:p w14:paraId="5C0FD21E" w14:textId="77777777" w:rsidR="00841AEB" w:rsidRDefault="003066F7">
            <w:pPr>
              <w:pBdr>
                <w:top w:val="nil"/>
                <w:left w:val="nil"/>
                <w:bottom w:val="nil"/>
                <w:right w:val="nil"/>
                <w:between w:val="nil"/>
              </w:pBdr>
              <w:tabs>
                <w:tab w:val="left" w:pos="540"/>
                <w:tab w:val="left" w:pos="4963"/>
                <w:tab w:val="left" w:pos="6787"/>
              </w:tabs>
              <w:spacing w:after="120" w:line="360" w:lineRule="auto"/>
              <w:rPr>
                <w:rFonts w:ascii="Arial" w:eastAsia="Arial" w:hAnsi="Arial" w:cs="Arial"/>
                <w:sz w:val="20"/>
                <w:szCs w:val="20"/>
              </w:rPr>
            </w:pPr>
            <w:r>
              <w:rPr>
                <w:rFonts w:ascii="Arial" w:hAnsi="Arial"/>
                <w:sz w:val="20"/>
              </w:rPr>
              <w:t>5,000,000</w:t>
            </w:r>
          </w:p>
        </w:tc>
        <w:tc>
          <w:tcPr>
            <w:tcW w:w="2324" w:type="dxa"/>
          </w:tcPr>
          <w:p w14:paraId="65FCBBD7" w14:textId="77777777" w:rsidR="00841AEB" w:rsidRDefault="00841AEB">
            <w:pPr>
              <w:pBdr>
                <w:top w:val="nil"/>
                <w:left w:val="nil"/>
                <w:bottom w:val="nil"/>
                <w:right w:val="nil"/>
                <w:between w:val="nil"/>
              </w:pBdr>
              <w:tabs>
                <w:tab w:val="left" w:pos="540"/>
                <w:tab w:val="left" w:pos="4963"/>
                <w:tab w:val="left" w:pos="6787"/>
              </w:tabs>
              <w:spacing w:after="120" w:line="360" w:lineRule="auto"/>
              <w:rPr>
                <w:rFonts w:ascii="Arial" w:eastAsia="Arial" w:hAnsi="Arial" w:cs="Arial"/>
                <w:sz w:val="20"/>
                <w:szCs w:val="20"/>
              </w:rPr>
            </w:pPr>
          </w:p>
        </w:tc>
      </w:tr>
      <w:tr w:rsidR="00841AEB" w14:paraId="6AC31E7B" w14:textId="77777777" w:rsidTr="00EB4084">
        <w:tc>
          <w:tcPr>
            <w:tcW w:w="938" w:type="dxa"/>
          </w:tcPr>
          <w:p w14:paraId="59A554CF" w14:textId="77777777" w:rsidR="00841AEB" w:rsidRDefault="003066F7">
            <w:pPr>
              <w:pBdr>
                <w:top w:val="nil"/>
                <w:left w:val="nil"/>
                <w:bottom w:val="nil"/>
                <w:right w:val="nil"/>
                <w:between w:val="nil"/>
              </w:pBdr>
              <w:tabs>
                <w:tab w:val="left" w:pos="540"/>
                <w:tab w:val="left" w:pos="4963"/>
                <w:tab w:val="left" w:pos="6787"/>
              </w:tabs>
              <w:spacing w:after="120" w:line="360" w:lineRule="auto"/>
              <w:rPr>
                <w:rFonts w:ascii="Arial" w:eastAsia="Arial" w:hAnsi="Arial" w:cs="Arial"/>
                <w:sz w:val="20"/>
                <w:szCs w:val="20"/>
              </w:rPr>
            </w:pPr>
            <w:r>
              <w:rPr>
                <w:rFonts w:ascii="Arial" w:hAnsi="Arial"/>
                <w:sz w:val="20"/>
              </w:rPr>
              <w:t>2</w:t>
            </w:r>
          </w:p>
        </w:tc>
        <w:tc>
          <w:tcPr>
            <w:tcW w:w="3445" w:type="dxa"/>
          </w:tcPr>
          <w:p w14:paraId="36B3703A" w14:textId="77777777" w:rsidR="00841AEB" w:rsidRDefault="003066F7">
            <w:pPr>
              <w:pBdr>
                <w:top w:val="nil"/>
                <w:left w:val="nil"/>
                <w:bottom w:val="nil"/>
                <w:right w:val="nil"/>
                <w:between w:val="nil"/>
              </w:pBdr>
              <w:tabs>
                <w:tab w:val="left" w:pos="540"/>
                <w:tab w:val="left" w:pos="4963"/>
                <w:tab w:val="left" w:pos="6787"/>
              </w:tabs>
              <w:spacing w:after="120" w:line="360" w:lineRule="auto"/>
              <w:rPr>
                <w:rFonts w:ascii="Arial" w:eastAsia="Arial" w:hAnsi="Arial" w:cs="Arial"/>
                <w:sz w:val="20"/>
                <w:szCs w:val="20"/>
              </w:rPr>
            </w:pPr>
            <w:r>
              <w:rPr>
                <w:rFonts w:ascii="Arial" w:hAnsi="Arial"/>
                <w:sz w:val="20"/>
              </w:rPr>
              <w:t>Non-executive member of the Board of Directors</w:t>
            </w:r>
          </w:p>
        </w:tc>
        <w:tc>
          <w:tcPr>
            <w:tcW w:w="2473" w:type="dxa"/>
          </w:tcPr>
          <w:p w14:paraId="1CE5318C" w14:textId="77777777" w:rsidR="00841AEB" w:rsidRDefault="003066F7">
            <w:pPr>
              <w:pBdr>
                <w:top w:val="nil"/>
                <w:left w:val="nil"/>
                <w:bottom w:val="nil"/>
                <w:right w:val="nil"/>
                <w:between w:val="nil"/>
              </w:pBdr>
              <w:tabs>
                <w:tab w:val="left" w:pos="540"/>
                <w:tab w:val="left" w:pos="4963"/>
                <w:tab w:val="left" w:pos="6787"/>
              </w:tabs>
              <w:spacing w:after="120" w:line="360" w:lineRule="auto"/>
              <w:rPr>
                <w:rFonts w:ascii="Arial" w:eastAsia="Arial" w:hAnsi="Arial" w:cs="Arial"/>
                <w:sz w:val="20"/>
                <w:szCs w:val="20"/>
              </w:rPr>
            </w:pPr>
            <w:r>
              <w:rPr>
                <w:rFonts w:ascii="Arial" w:hAnsi="Arial"/>
                <w:sz w:val="20"/>
              </w:rPr>
              <w:t>3,000,000</w:t>
            </w:r>
          </w:p>
        </w:tc>
        <w:tc>
          <w:tcPr>
            <w:tcW w:w="2324" w:type="dxa"/>
          </w:tcPr>
          <w:p w14:paraId="1FAA7E7C" w14:textId="77777777" w:rsidR="00841AEB" w:rsidRDefault="00841AEB">
            <w:pPr>
              <w:pBdr>
                <w:top w:val="nil"/>
                <w:left w:val="nil"/>
                <w:bottom w:val="nil"/>
                <w:right w:val="nil"/>
                <w:between w:val="nil"/>
              </w:pBdr>
              <w:tabs>
                <w:tab w:val="left" w:pos="540"/>
                <w:tab w:val="left" w:pos="4963"/>
                <w:tab w:val="left" w:pos="6787"/>
              </w:tabs>
              <w:spacing w:after="120" w:line="360" w:lineRule="auto"/>
              <w:rPr>
                <w:rFonts w:ascii="Arial" w:eastAsia="Arial" w:hAnsi="Arial" w:cs="Arial"/>
                <w:sz w:val="20"/>
                <w:szCs w:val="20"/>
              </w:rPr>
            </w:pPr>
          </w:p>
        </w:tc>
      </w:tr>
      <w:tr w:rsidR="00841AEB" w14:paraId="14C47A22" w14:textId="77777777" w:rsidTr="00EB4084">
        <w:tc>
          <w:tcPr>
            <w:tcW w:w="938" w:type="dxa"/>
          </w:tcPr>
          <w:p w14:paraId="5A7540CE" w14:textId="77777777" w:rsidR="00841AEB" w:rsidRDefault="003066F7">
            <w:pPr>
              <w:pBdr>
                <w:top w:val="nil"/>
                <w:left w:val="nil"/>
                <w:bottom w:val="nil"/>
                <w:right w:val="nil"/>
                <w:between w:val="nil"/>
              </w:pBdr>
              <w:tabs>
                <w:tab w:val="left" w:pos="540"/>
                <w:tab w:val="left" w:pos="4963"/>
                <w:tab w:val="left" w:pos="6787"/>
              </w:tabs>
              <w:spacing w:after="120" w:line="360" w:lineRule="auto"/>
              <w:rPr>
                <w:rFonts w:ascii="Arial" w:eastAsia="Arial" w:hAnsi="Arial" w:cs="Arial"/>
                <w:sz w:val="20"/>
                <w:szCs w:val="20"/>
              </w:rPr>
            </w:pPr>
            <w:r>
              <w:rPr>
                <w:rFonts w:ascii="Arial" w:hAnsi="Arial"/>
                <w:sz w:val="20"/>
              </w:rPr>
              <w:t>3</w:t>
            </w:r>
          </w:p>
        </w:tc>
        <w:tc>
          <w:tcPr>
            <w:tcW w:w="3445" w:type="dxa"/>
          </w:tcPr>
          <w:p w14:paraId="5F43FCCB" w14:textId="77777777" w:rsidR="00841AEB" w:rsidRDefault="003066F7">
            <w:pPr>
              <w:pBdr>
                <w:top w:val="nil"/>
                <w:left w:val="nil"/>
                <w:bottom w:val="nil"/>
                <w:right w:val="nil"/>
                <w:between w:val="nil"/>
              </w:pBdr>
              <w:tabs>
                <w:tab w:val="left" w:pos="540"/>
                <w:tab w:val="left" w:pos="4963"/>
                <w:tab w:val="left" w:pos="6787"/>
              </w:tabs>
              <w:spacing w:after="120" w:line="360" w:lineRule="auto"/>
              <w:rPr>
                <w:rFonts w:ascii="Arial" w:eastAsia="Arial" w:hAnsi="Arial" w:cs="Arial"/>
                <w:sz w:val="20"/>
                <w:szCs w:val="20"/>
              </w:rPr>
            </w:pPr>
            <w:r>
              <w:rPr>
                <w:rFonts w:ascii="Arial" w:hAnsi="Arial"/>
                <w:sz w:val="20"/>
              </w:rPr>
              <w:t>Non-executive Head of the Supervisory Board</w:t>
            </w:r>
          </w:p>
        </w:tc>
        <w:tc>
          <w:tcPr>
            <w:tcW w:w="2473" w:type="dxa"/>
          </w:tcPr>
          <w:p w14:paraId="4E45EF68" w14:textId="77777777" w:rsidR="00841AEB" w:rsidRDefault="003066F7">
            <w:pPr>
              <w:pBdr>
                <w:top w:val="nil"/>
                <w:left w:val="nil"/>
                <w:bottom w:val="nil"/>
                <w:right w:val="nil"/>
                <w:between w:val="nil"/>
              </w:pBdr>
              <w:tabs>
                <w:tab w:val="left" w:pos="540"/>
                <w:tab w:val="left" w:pos="4963"/>
                <w:tab w:val="left" w:pos="6787"/>
              </w:tabs>
              <w:spacing w:after="120" w:line="360" w:lineRule="auto"/>
              <w:rPr>
                <w:rFonts w:ascii="Arial" w:eastAsia="Arial" w:hAnsi="Arial" w:cs="Arial"/>
                <w:sz w:val="20"/>
                <w:szCs w:val="20"/>
              </w:rPr>
            </w:pPr>
            <w:r>
              <w:rPr>
                <w:rFonts w:ascii="Arial" w:hAnsi="Arial"/>
                <w:sz w:val="20"/>
              </w:rPr>
              <w:t>3,000,000</w:t>
            </w:r>
          </w:p>
        </w:tc>
        <w:tc>
          <w:tcPr>
            <w:tcW w:w="2324" w:type="dxa"/>
          </w:tcPr>
          <w:p w14:paraId="6BFE45B1" w14:textId="77777777" w:rsidR="00841AEB" w:rsidRDefault="00841AEB">
            <w:pPr>
              <w:pBdr>
                <w:top w:val="nil"/>
                <w:left w:val="nil"/>
                <w:bottom w:val="nil"/>
                <w:right w:val="nil"/>
                <w:between w:val="nil"/>
              </w:pBdr>
              <w:tabs>
                <w:tab w:val="left" w:pos="540"/>
                <w:tab w:val="left" w:pos="4963"/>
                <w:tab w:val="left" w:pos="6787"/>
              </w:tabs>
              <w:spacing w:after="120" w:line="360" w:lineRule="auto"/>
              <w:rPr>
                <w:rFonts w:ascii="Arial" w:eastAsia="Arial" w:hAnsi="Arial" w:cs="Arial"/>
                <w:sz w:val="20"/>
                <w:szCs w:val="20"/>
              </w:rPr>
            </w:pPr>
          </w:p>
        </w:tc>
      </w:tr>
      <w:tr w:rsidR="00841AEB" w14:paraId="5B5A3758" w14:textId="77777777" w:rsidTr="00EB4084">
        <w:tc>
          <w:tcPr>
            <w:tcW w:w="938" w:type="dxa"/>
          </w:tcPr>
          <w:p w14:paraId="508E344E" w14:textId="77777777" w:rsidR="00841AEB" w:rsidRDefault="003066F7">
            <w:pPr>
              <w:pBdr>
                <w:top w:val="nil"/>
                <w:left w:val="nil"/>
                <w:bottom w:val="nil"/>
                <w:right w:val="nil"/>
                <w:between w:val="nil"/>
              </w:pBdr>
              <w:tabs>
                <w:tab w:val="left" w:pos="540"/>
                <w:tab w:val="left" w:pos="4963"/>
                <w:tab w:val="left" w:pos="6787"/>
              </w:tabs>
              <w:spacing w:after="120" w:line="360" w:lineRule="auto"/>
              <w:rPr>
                <w:rFonts w:ascii="Arial" w:eastAsia="Arial" w:hAnsi="Arial" w:cs="Arial"/>
                <w:sz w:val="20"/>
                <w:szCs w:val="20"/>
              </w:rPr>
            </w:pPr>
            <w:r>
              <w:rPr>
                <w:rFonts w:ascii="Arial" w:hAnsi="Arial"/>
                <w:sz w:val="20"/>
              </w:rPr>
              <w:t>4</w:t>
            </w:r>
          </w:p>
        </w:tc>
        <w:tc>
          <w:tcPr>
            <w:tcW w:w="3445" w:type="dxa"/>
          </w:tcPr>
          <w:p w14:paraId="7A7978E3" w14:textId="77777777" w:rsidR="00841AEB" w:rsidRDefault="003066F7">
            <w:pPr>
              <w:pBdr>
                <w:top w:val="nil"/>
                <w:left w:val="nil"/>
                <w:bottom w:val="nil"/>
                <w:right w:val="nil"/>
                <w:between w:val="nil"/>
              </w:pBdr>
              <w:tabs>
                <w:tab w:val="left" w:pos="540"/>
                <w:tab w:val="left" w:pos="4963"/>
                <w:tab w:val="left" w:pos="6787"/>
              </w:tabs>
              <w:spacing w:after="120" w:line="360" w:lineRule="auto"/>
              <w:rPr>
                <w:rFonts w:ascii="Arial" w:eastAsia="Arial" w:hAnsi="Arial" w:cs="Arial"/>
                <w:sz w:val="20"/>
                <w:szCs w:val="20"/>
              </w:rPr>
            </w:pPr>
            <w:r>
              <w:rPr>
                <w:rFonts w:ascii="Arial" w:hAnsi="Arial"/>
                <w:sz w:val="20"/>
              </w:rPr>
              <w:t>Non-executive members of the Supervisory Board</w:t>
            </w:r>
          </w:p>
        </w:tc>
        <w:tc>
          <w:tcPr>
            <w:tcW w:w="2473" w:type="dxa"/>
          </w:tcPr>
          <w:p w14:paraId="211F9387" w14:textId="77777777" w:rsidR="00841AEB" w:rsidRDefault="003066F7">
            <w:pPr>
              <w:pBdr>
                <w:top w:val="nil"/>
                <w:left w:val="nil"/>
                <w:bottom w:val="nil"/>
                <w:right w:val="nil"/>
                <w:between w:val="nil"/>
              </w:pBdr>
              <w:tabs>
                <w:tab w:val="left" w:pos="540"/>
                <w:tab w:val="left" w:pos="4963"/>
                <w:tab w:val="left" w:pos="6787"/>
              </w:tabs>
              <w:spacing w:after="120" w:line="360" w:lineRule="auto"/>
              <w:rPr>
                <w:rFonts w:ascii="Arial" w:eastAsia="Arial" w:hAnsi="Arial" w:cs="Arial"/>
                <w:sz w:val="20"/>
                <w:szCs w:val="20"/>
              </w:rPr>
            </w:pPr>
            <w:r>
              <w:rPr>
                <w:rFonts w:ascii="Arial" w:hAnsi="Arial"/>
                <w:sz w:val="20"/>
              </w:rPr>
              <w:t>1,000,000</w:t>
            </w:r>
          </w:p>
        </w:tc>
        <w:tc>
          <w:tcPr>
            <w:tcW w:w="2324" w:type="dxa"/>
          </w:tcPr>
          <w:p w14:paraId="536B6DA5" w14:textId="77777777" w:rsidR="00841AEB" w:rsidRDefault="00841AEB">
            <w:pPr>
              <w:pBdr>
                <w:top w:val="nil"/>
                <w:left w:val="nil"/>
                <w:bottom w:val="nil"/>
                <w:right w:val="nil"/>
                <w:between w:val="nil"/>
              </w:pBdr>
              <w:tabs>
                <w:tab w:val="left" w:pos="540"/>
                <w:tab w:val="left" w:pos="4963"/>
                <w:tab w:val="left" w:pos="6787"/>
              </w:tabs>
              <w:spacing w:after="120" w:line="360" w:lineRule="auto"/>
              <w:rPr>
                <w:rFonts w:ascii="Arial" w:eastAsia="Arial" w:hAnsi="Arial" w:cs="Arial"/>
                <w:sz w:val="20"/>
                <w:szCs w:val="20"/>
              </w:rPr>
            </w:pPr>
          </w:p>
        </w:tc>
      </w:tr>
    </w:tbl>
    <w:p w14:paraId="30B1B07D" w14:textId="77777777" w:rsidR="00841AEB" w:rsidRDefault="003066F7" w:rsidP="00EB4084">
      <w:pPr>
        <w:numPr>
          <w:ilvl w:val="0"/>
          <w:numId w:val="2"/>
        </w:numPr>
        <w:pBdr>
          <w:top w:val="nil"/>
          <w:left w:val="nil"/>
          <w:bottom w:val="nil"/>
          <w:right w:val="nil"/>
          <w:between w:val="nil"/>
        </w:pBdr>
        <w:tabs>
          <w:tab w:val="left" w:pos="540"/>
        </w:tabs>
        <w:spacing w:after="120" w:line="360" w:lineRule="auto"/>
        <w:jc w:val="both"/>
        <w:rPr>
          <w:rFonts w:ascii="Arial" w:eastAsia="Arial" w:hAnsi="Arial" w:cs="Arial"/>
          <w:sz w:val="20"/>
          <w:szCs w:val="20"/>
        </w:rPr>
      </w:pPr>
      <w:r>
        <w:rPr>
          <w:rFonts w:ascii="Arial" w:hAnsi="Arial"/>
          <w:sz w:val="20"/>
        </w:rPr>
        <w:t xml:space="preserve">No additional election of members of the Board of Directors and the Supervisory Board was carried out because there were no candidates nominated to elect members of the Board of Directors and the Supervisory Board by shareholders (group of shareholders) or the Board of Directors and the Company's Supervisory Board. </w:t>
      </w:r>
    </w:p>
    <w:p w14:paraId="2BCC8819" w14:textId="77777777" w:rsidR="00841AEB" w:rsidRDefault="003066F7" w:rsidP="00EB4084">
      <w:pPr>
        <w:tabs>
          <w:tab w:val="left" w:pos="540"/>
        </w:tabs>
        <w:spacing w:after="120" w:line="360" w:lineRule="auto"/>
        <w:jc w:val="both"/>
        <w:rPr>
          <w:rFonts w:ascii="Arial" w:eastAsia="Arial" w:hAnsi="Arial" w:cs="Arial"/>
          <w:sz w:val="20"/>
          <w:szCs w:val="20"/>
        </w:rPr>
      </w:pPr>
      <w:r>
        <w:rPr>
          <w:rFonts w:ascii="Arial" w:hAnsi="Arial"/>
          <w:sz w:val="20"/>
        </w:rPr>
        <w:t xml:space="preserve">Article 2: The General Meeting of Shareholders assignes the Board of Directors to organize, direct </w:t>
      </w:r>
      <w:r>
        <w:rPr>
          <w:rFonts w:ascii="Arial" w:hAnsi="Arial"/>
          <w:sz w:val="20"/>
        </w:rPr>
        <w:lastRenderedPageBreak/>
        <w:t>and supervise the Company's executive apparatus to implement the Annual General Mandate 2024. The Supervisory Board performs the function of inspecting and supervising the management activities of the Board of Directors, the production and business operations of the General Manager and the Company's executive apparatus in accordance with the provisions of law, the Company’s Charter and this General Mandate.</w:t>
      </w:r>
    </w:p>
    <w:p w14:paraId="608DF501" w14:textId="77777777" w:rsidR="00841AEB" w:rsidRDefault="003066F7" w:rsidP="00EB4084">
      <w:pPr>
        <w:tabs>
          <w:tab w:val="left" w:pos="540"/>
        </w:tabs>
        <w:spacing w:after="120" w:line="360" w:lineRule="auto"/>
        <w:jc w:val="both"/>
        <w:rPr>
          <w:rFonts w:ascii="Arial" w:eastAsia="Arial" w:hAnsi="Arial" w:cs="Arial"/>
          <w:sz w:val="20"/>
          <w:szCs w:val="20"/>
        </w:rPr>
      </w:pPr>
      <w:r>
        <w:rPr>
          <w:rFonts w:ascii="Arial" w:hAnsi="Arial"/>
          <w:sz w:val="20"/>
        </w:rPr>
        <w:t>Article 3: Members of the Board of Directors, the Supervisory Board, the executive management apparatus, organizations and individuals in the Company and shareholders shall implement  pursuant to the General mandate.</w:t>
      </w:r>
    </w:p>
    <w:p w14:paraId="40FD23F8" w14:textId="77777777" w:rsidR="00841AEB" w:rsidRDefault="003066F7" w:rsidP="00EB4084">
      <w:pPr>
        <w:tabs>
          <w:tab w:val="left" w:pos="540"/>
        </w:tabs>
        <w:spacing w:after="120" w:line="360" w:lineRule="auto"/>
        <w:jc w:val="both"/>
        <w:rPr>
          <w:rFonts w:ascii="Arial" w:eastAsia="Arial" w:hAnsi="Arial" w:cs="Arial"/>
          <w:sz w:val="20"/>
          <w:szCs w:val="20"/>
        </w:rPr>
      </w:pPr>
      <w:r>
        <w:rPr>
          <w:rFonts w:ascii="Arial" w:hAnsi="Arial"/>
          <w:sz w:val="20"/>
        </w:rPr>
        <w:t>Article 4: The General Mandate consists of 2 pages, prepared and approved in full at the Annual General Meeting of Shareholders 2024 of Song Da No 12 Joint Stock Company and takes effect from June 26, 2024./.</w:t>
      </w:r>
    </w:p>
    <w:sectPr w:rsidR="00841AEB">
      <w:type w:val="continuous"/>
      <w:pgSz w:w="11906" w:h="16838"/>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panose1 w:val="00000000000000000000"/>
    <w:charset w:val="00"/>
    <w:family w:val="roman"/>
    <w:notTrueType/>
    <w:pitch w:val="default"/>
  </w:font>
  <w:font w:name="等线">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75EC1"/>
    <w:multiLevelType w:val="multilevel"/>
    <w:tmpl w:val="DEF04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297E8B"/>
    <w:multiLevelType w:val="multilevel"/>
    <w:tmpl w:val="FFDE75C2"/>
    <w:lvl w:ilvl="0">
      <w:start w:val="1"/>
      <w:numFmt w:val="decimal"/>
      <w:lvlText w:val="8.%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32116EC"/>
    <w:multiLevelType w:val="multilevel"/>
    <w:tmpl w:val="1592069E"/>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AEB"/>
    <w:rsid w:val="0029664B"/>
    <w:rsid w:val="003066F7"/>
    <w:rsid w:val="00307E68"/>
    <w:rsid w:val="004212A9"/>
    <w:rsid w:val="00694BE5"/>
    <w:rsid w:val="00816980"/>
    <w:rsid w:val="00841AEB"/>
    <w:rsid w:val="00EB4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9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44"/>
      <w:szCs w:val="44"/>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color w:val="B05F70"/>
      <w:sz w:val="20"/>
      <w:szCs w:val="20"/>
      <w:u w:val="none"/>
      <w:shd w:val="clear" w:color="auto" w:fill="auto"/>
    </w:rPr>
  </w:style>
  <w:style w:type="character" w:customStyle="1" w:styleId="Bodytext4">
    <w:name w:val="Body text (4)_"/>
    <w:basedOn w:val="DefaultParagraphFont"/>
    <w:link w:val="Bodytext40"/>
    <w:rPr>
      <w:rFonts w:ascii="Arial Narrow" w:eastAsia="Arial Narrow" w:hAnsi="Arial Narrow" w:cs="Arial Narrow"/>
      <w:b/>
      <w:bCs/>
      <w:i w:val="0"/>
      <w:iCs w:val="0"/>
      <w:smallCaps w:val="0"/>
      <w:strike w:val="0"/>
      <w:color w:val="B05F7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8"/>
      <w:szCs w:val="18"/>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54"/>
      <w:szCs w:val="54"/>
      <w:u w:val="none"/>
      <w:shd w:val="clear" w:color="auto" w:fill="auto"/>
    </w:rPr>
  </w:style>
  <w:style w:type="paragraph" w:styleId="BodyText">
    <w:name w:val="Body Text"/>
    <w:basedOn w:val="Normal"/>
    <w:link w:val="BodyTextChar"/>
    <w:qFormat/>
    <w:pPr>
      <w:spacing w:line="259" w:lineRule="auto"/>
      <w:ind w:firstLine="10"/>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sz w:val="44"/>
      <w:szCs w:val="44"/>
    </w:rPr>
  </w:style>
  <w:style w:type="paragraph" w:customStyle="1" w:styleId="Bodytext50">
    <w:name w:val="Body text (5)"/>
    <w:basedOn w:val="Normal"/>
    <w:link w:val="Bodytext5"/>
    <w:rPr>
      <w:rFonts w:ascii="Arial" w:eastAsia="Arial" w:hAnsi="Arial" w:cs="Arial"/>
      <w:b/>
      <w:bCs/>
      <w:color w:val="B05F70"/>
      <w:sz w:val="20"/>
      <w:szCs w:val="20"/>
    </w:rPr>
  </w:style>
  <w:style w:type="paragraph" w:customStyle="1" w:styleId="Bodytext40">
    <w:name w:val="Body text (4)"/>
    <w:basedOn w:val="Normal"/>
    <w:link w:val="Bodytext4"/>
    <w:rPr>
      <w:rFonts w:ascii="Arial Narrow" w:eastAsia="Arial Narrow" w:hAnsi="Arial Narrow" w:cs="Arial Narrow"/>
      <w:b/>
      <w:bCs/>
      <w:color w:val="B05F70"/>
    </w:rPr>
  </w:style>
  <w:style w:type="paragraph" w:customStyle="1" w:styleId="Tablecaption0">
    <w:name w:val="Table caption"/>
    <w:basedOn w:val="Normal"/>
    <w:link w:val="Tablecaption"/>
    <w:pPr>
      <w:spacing w:line="259" w:lineRule="auto"/>
    </w:pPr>
    <w:rPr>
      <w:rFonts w:ascii="Times New Roman" w:eastAsia="Times New Roman" w:hAnsi="Times New Roman" w:cs="Times New Roman"/>
    </w:rPr>
  </w:style>
  <w:style w:type="paragraph" w:customStyle="1" w:styleId="Other0">
    <w:name w:val="Other"/>
    <w:basedOn w:val="Normal"/>
    <w:link w:val="Other"/>
    <w:pPr>
      <w:spacing w:line="259" w:lineRule="auto"/>
      <w:ind w:firstLine="10"/>
    </w:pPr>
    <w:rPr>
      <w:rFonts w:ascii="Times New Roman" w:eastAsia="Times New Roman" w:hAnsi="Times New Roman" w:cs="Times New Roman"/>
    </w:rPr>
  </w:style>
  <w:style w:type="paragraph" w:customStyle="1" w:styleId="Bodytext20">
    <w:name w:val="Body text (2)"/>
    <w:basedOn w:val="Normal"/>
    <w:link w:val="Bodytext2"/>
    <w:pPr>
      <w:spacing w:line="230" w:lineRule="auto"/>
    </w:pPr>
    <w:rPr>
      <w:rFonts w:ascii="Arial" w:eastAsia="Arial" w:hAnsi="Arial" w:cs="Arial"/>
      <w:sz w:val="18"/>
      <w:szCs w:val="18"/>
    </w:rPr>
  </w:style>
  <w:style w:type="paragraph" w:customStyle="1" w:styleId="Heading11">
    <w:name w:val="Heading #1"/>
    <w:basedOn w:val="Normal"/>
    <w:link w:val="Heading10"/>
    <w:pPr>
      <w:spacing w:line="216" w:lineRule="auto"/>
      <w:jc w:val="center"/>
      <w:outlineLvl w:val="0"/>
    </w:pPr>
    <w:rPr>
      <w:rFonts w:ascii="Arial" w:eastAsia="Arial" w:hAnsi="Arial" w:cs="Arial"/>
      <w:sz w:val="54"/>
      <w:szCs w:val="54"/>
    </w:rPr>
  </w:style>
  <w:style w:type="paragraph" w:styleId="NormalWeb">
    <w:name w:val="Normal (Web)"/>
    <w:basedOn w:val="Normal"/>
    <w:uiPriority w:val="99"/>
    <w:unhideWhenUsed/>
    <w:rsid w:val="00FF5E70"/>
    <w:pPr>
      <w:widowControl/>
      <w:spacing w:before="100" w:beforeAutospacing="1" w:after="100" w:afterAutospacing="1"/>
    </w:pPr>
    <w:rPr>
      <w:rFonts w:ascii="Times New Roman" w:eastAsia="Times New Roman" w:hAnsi="Times New Roman" w:cs="Times New Roman"/>
      <w:color w:val="auto"/>
      <w:lang w:eastAsia="ja-JP"/>
    </w:rPr>
  </w:style>
  <w:style w:type="table" w:styleId="TableGrid">
    <w:name w:val="Table Grid"/>
    <w:basedOn w:val="TableNormal"/>
    <w:uiPriority w:val="39"/>
    <w:rsid w:val="003D6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55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44"/>
      <w:szCs w:val="44"/>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color w:val="B05F70"/>
      <w:sz w:val="20"/>
      <w:szCs w:val="20"/>
      <w:u w:val="none"/>
      <w:shd w:val="clear" w:color="auto" w:fill="auto"/>
    </w:rPr>
  </w:style>
  <w:style w:type="character" w:customStyle="1" w:styleId="Bodytext4">
    <w:name w:val="Body text (4)_"/>
    <w:basedOn w:val="DefaultParagraphFont"/>
    <w:link w:val="Bodytext40"/>
    <w:rPr>
      <w:rFonts w:ascii="Arial Narrow" w:eastAsia="Arial Narrow" w:hAnsi="Arial Narrow" w:cs="Arial Narrow"/>
      <w:b/>
      <w:bCs/>
      <w:i w:val="0"/>
      <w:iCs w:val="0"/>
      <w:smallCaps w:val="0"/>
      <w:strike w:val="0"/>
      <w:color w:val="B05F7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8"/>
      <w:szCs w:val="18"/>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54"/>
      <w:szCs w:val="54"/>
      <w:u w:val="none"/>
      <w:shd w:val="clear" w:color="auto" w:fill="auto"/>
    </w:rPr>
  </w:style>
  <w:style w:type="paragraph" w:styleId="BodyText">
    <w:name w:val="Body Text"/>
    <w:basedOn w:val="Normal"/>
    <w:link w:val="BodyTextChar"/>
    <w:qFormat/>
    <w:pPr>
      <w:spacing w:line="259" w:lineRule="auto"/>
      <w:ind w:firstLine="10"/>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sz w:val="44"/>
      <w:szCs w:val="44"/>
    </w:rPr>
  </w:style>
  <w:style w:type="paragraph" w:customStyle="1" w:styleId="Bodytext50">
    <w:name w:val="Body text (5)"/>
    <w:basedOn w:val="Normal"/>
    <w:link w:val="Bodytext5"/>
    <w:rPr>
      <w:rFonts w:ascii="Arial" w:eastAsia="Arial" w:hAnsi="Arial" w:cs="Arial"/>
      <w:b/>
      <w:bCs/>
      <w:color w:val="B05F70"/>
      <w:sz w:val="20"/>
      <w:szCs w:val="20"/>
    </w:rPr>
  </w:style>
  <w:style w:type="paragraph" w:customStyle="1" w:styleId="Bodytext40">
    <w:name w:val="Body text (4)"/>
    <w:basedOn w:val="Normal"/>
    <w:link w:val="Bodytext4"/>
    <w:rPr>
      <w:rFonts w:ascii="Arial Narrow" w:eastAsia="Arial Narrow" w:hAnsi="Arial Narrow" w:cs="Arial Narrow"/>
      <w:b/>
      <w:bCs/>
      <w:color w:val="B05F70"/>
    </w:rPr>
  </w:style>
  <w:style w:type="paragraph" w:customStyle="1" w:styleId="Tablecaption0">
    <w:name w:val="Table caption"/>
    <w:basedOn w:val="Normal"/>
    <w:link w:val="Tablecaption"/>
    <w:pPr>
      <w:spacing w:line="259" w:lineRule="auto"/>
    </w:pPr>
    <w:rPr>
      <w:rFonts w:ascii="Times New Roman" w:eastAsia="Times New Roman" w:hAnsi="Times New Roman" w:cs="Times New Roman"/>
    </w:rPr>
  </w:style>
  <w:style w:type="paragraph" w:customStyle="1" w:styleId="Other0">
    <w:name w:val="Other"/>
    <w:basedOn w:val="Normal"/>
    <w:link w:val="Other"/>
    <w:pPr>
      <w:spacing w:line="259" w:lineRule="auto"/>
      <w:ind w:firstLine="10"/>
    </w:pPr>
    <w:rPr>
      <w:rFonts w:ascii="Times New Roman" w:eastAsia="Times New Roman" w:hAnsi="Times New Roman" w:cs="Times New Roman"/>
    </w:rPr>
  </w:style>
  <w:style w:type="paragraph" w:customStyle="1" w:styleId="Bodytext20">
    <w:name w:val="Body text (2)"/>
    <w:basedOn w:val="Normal"/>
    <w:link w:val="Bodytext2"/>
    <w:pPr>
      <w:spacing w:line="230" w:lineRule="auto"/>
    </w:pPr>
    <w:rPr>
      <w:rFonts w:ascii="Arial" w:eastAsia="Arial" w:hAnsi="Arial" w:cs="Arial"/>
      <w:sz w:val="18"/>
      <w:szCs w:val="18"/>
    </w:rPr>
  </w:style>
  <w:style w:type="paragraph" w:customStyle="1" w:styleId="Heading11">
    <w:name w:val="Heading #1"/>
    <w:basedOn w:val="Normal"/>
    <w:link w:val="Heading10"/>
    <w:pPr>
      <w:spacing w:line="216" w:lineRule="auto"/>
      <w:jc w:val="center"/>
      <w:outlineLvl w:val="0"/>
    </w:pPr>
    <w:rPr>
      <w:rFonts w:ascii="Arial" w:eastAsia="Arial" w:hAnsi="Arial" w:cs="Arial"/>
      <w:sz w:val="54"/>
      <w:szCs w:val="54"/>
    </w:rPr>
  </w:style>
  <w:style w:type="paragraph" w:styleId="NormalWeb">
    <w:name w:val="Normal (Web)"/>
    <w:basedOn w:val="Normal"/>
    <w:uiPriority w:val="99"/>
    <w:unhideWhenUsed/>
    <w:rsid w:val="00FF5E70"/>
    <w:pPr>
      <w:widowControl/>
      <w:spacing w:before="100" w:beforeAutospacing="1" w:after="100" w:afterAutospacing="1"/>
    </w:pPr>
    <w:rPr>
      <w:rFonts w:ascii="Times New Roman" w:eastAsia="Times New Roman" w:hAnsi="Times New Roman" w:cs="Times New Roman"/>
      <w:color w:val="auto"/>
      <w:lang w:eastAsia="ja-JP"/>
    </w:rPr>
  </w:style>
  <w:style w:type="table" w:styleId="TableGrid">
    <w:name w:val="Table Grid"/>
    <w:basedOn w:val="TableNormal"/>
    <w:uiPriority w:val="39"/>
    <w:rsid w:val="003D6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55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tmhg8G/jkXNO9lmQK5jPgvZzQg==">CgMxLjA4AHIhMWQxYUdjUFNvQmZacXVic09GUXp2dHMxeDZCaHlzbzVa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624</Words>
  <Characters>3563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2024-07-01T05:14:00Z</dcterms:created>
  <dcterms:modified xsi:type="dcterms:W3CDTF">2024-07-03T04:19:00Z</dcterms:modified>
</cp:coreProperties>
</file>