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48" w:rsidRDefault="00497148" w:rsidP="00497148">
      <w:pPr>
        <w:pStyle w:val="BodyText"/>
        <w:spacing w:after="120" w:line="360" w:lineRule="auto"/>
        <w:ind w:firstLine="0"/>
        <w:jc w:val="both"/>
        <w:rPr>
          <w:rFonts w:ascii="Arial" w:hAnsi="Arial" w:cs="Arial"/>
          <w:b/>
          <w:color w:val="010000"/>
          <w:sz w:val="20"/>
        </w:rPr>
      </w:pPr>
    </w:p>
    <w:p w:rsidR="0033422F" w:rsidRPr="002E439A" w:rsidRDefault="0033422F" w:rsidP="00497148">
      <w:pPr>
        <w:pStyle w:val="BodyText"/>
        <w:spacing w:after="120" w:line="360" w:lineRule="auto"/>
        <w:ind w:firstLine="0"/>
        <w:jc w:val="both"/>
        <w:rPr>
          <w:rFonts w:ascii="Arial" w:hAnsi="Arial" w:cs="Arial"/>
          <w:b/>
          <w:bCs/>
          <w:color w:val="010000"/>
          <w:sz w:val="20"/>
          <w:szCs w:val="24"/>
        </w:rPr>
      </w:pPr>
      <w:r w:rsidRPr="002E439A">
        <w:rPr>
          <w:rFonts w:ascii="Arial" w:hAnsi="Arial" w:cs="Arial"/>
          <w:b/>
          <w:color w:val="010000"/>
          <w:sz w:val="20"/>
        </w:rPr>
        <w:t>TDF: Annual General Mandate 2024</w:t>
      </w:r>
    </w:p>
    <w:p w:rsidR="00D4528A" w:rsidRPr="002E439A" w:rsidRDefault="0033422F" w:rsidP="00497148">
      <w:pPr>
        <w:pStyle w:val="BodyText"/>
        <w:spacing w:after="120" w:line="360" w:lineRule="auto"/>
        <w:ind w:firstLine="0"/>
        <w:jc w:val="both"/>
        <w:rPr>
          <w:rFonts w:ascii="Arial" w:hAnsi="Arial" w:cs="Arial"/>
          <w:color w:val="010000"/>
          <w:sz w:val="20"/>
          <w:szCs w:val="24"/>
        </w:rPr>
      </w:pPr>
      <w:r w:rsidRPr="002E439A">
        <w:rPr>
          <w:rFonts w:ascii="Arial" w:hAnsi="Arial" w:cs="Arial"/>
          <w:color w:val="010000"/>
          <w:sz w:val="20"/>
        </w:rPr>
        <w:t>On May 26, 2024, Trung Do Joint Stock Company announced General Mandate as follows:</w:t>
      </w:r>
    </w:p>
    <w:p w:rsidR="00D4528A" w:rsidRPr="002E439A" w:rsidRDefault="001B1843" w:rsidP="00497148">
      <w:pPr>
        <w:pStyle w:val="BodyText"/>
        <w:spacing w:after="120" w:line="360" w:lineRule="auto"/>
        <w:ind w:firstLine="0"/>
        <w:jc w:val="both"/>
        <w:rPr>
          <w:rFonts w:ascii="Arial" w:hAnsi="Arial" w:cs="Arial"/>
          <w:bCs/>
          <w:color w:val="010000"/>
          <w:sz w:val="20"/>
        </w:rPr>
      </w:pPr>
      <w:proofErr w:type="gramStart"/>
      <w:r w:rsidRPr="002E439A">
        <w:rPr>
          <w:rFonts w:ascii="Arial" w:hAnsi="Arial" w:cs="Arial"/>
          <w:color w:val="010000"/>
          <w:sz w:val="20"/>
        </w:rPr>
        <w:t>‎‎Article 1.</w:t>
      </w:r>
      <w:proofErr w:type="gramEnd"/>
      <w:r w:rsidRPr="002E439A">
        <w:rPr>
          <w:rFonts w:ascii="Arial" w:hAnsi="Arial" w:cs="Arial"/>
          <w:color w:val="010000"/>
          <w:sz w:val="20"/>
        </w:rPr>
        <w:t xml:space="preserve"> Approve the Report on the production and business results 2023 and the production and business plan for 2024.</w:t>
      </w:r>
    </w:p>
    <w:p w:rsidR="0033422F" w:rsidRPr="000F7900" w:rsidRDefault="0033422F" w:rsidP="00497148">
      <w:pPr>
        <w:pStyle w:val="Heading20"/>
        <w:keepNext/>
        <w:tabs>
          <w:tab w:val="left" w:pos="990"/>
        </w:tabs>
        <w:spacing w:after="120" w:line="360" w:lineRule="auto"/>
        <w:ind w:left="0" w:firstLine="0"/>
        <w:jc w:val="both"/>
        <w:outlineLvl w:val="9"/>
        <w:rPr>
          <w:rFonts w:ascii="Arial" w:hAnsi="Arial" w:cs="Arial"/>
          <w:b w:val="0"/>
          <w:color w:val="010000"/>
          <w:sz w:val="20"/>
        </w:rPr>
      </w:pPr>
      <w:r w:rsidRPr="000F7900">
        <w:rPr>
          <w:rFonts w:ascii="Arial" w:hAnsi="Arial" w:cs="Arial"/>
          <w:b w:val="0"/>
          <w:color w:val="010000"/>
          <w:sz w:val="20"/>
        </w:rPr>
        <w:t>Main production and business targets in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7"/>
        <w:gridCol w:w="3925"/>
        <w:gridCol w:w="878"/>
        <w:gridCol w:w="1106"/>
        <w:gridCol w:w="1039"/>
        <w:gridCol w:w="1672"/>
      </w:tblGrid>
      <w:tr w:rsidR="0033422F" w:rsidRPr="000F7900" w:rsidTr="00AE39F8">
        <w:tc>
          <w:tcPr>
            <w:tcW w:w="236" w:type="pct"/>
            <w:shd w:val="clear" w:color="auto" w:fill="auto"/>
            <w:vAlign w:val="center"/>
          </w:tcPr>
          <w:p w:rsidR="0033422F" w:rsidRPr="000F7900" w:rsidRDefault="00AE39F8"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No.</w:t>
            </w:r>
          </w:p>
        </w:tc>
        <w:tc>
          <w:tcPr>
            <w:tcW w:w="2169"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Main targets</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Unit</w:t>
            </w:r>
          </w:p>
        </w:tc>
        <w:tc>
          <w:tcPr>
            <w:tcW w:w="611"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Results 2023</w:t>
            </w:r>
          </w:p>
        </w:tc>
        <w:tc>
          <w:tcPr>
            <w:tcW w:w="574"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Results 2022</w:t>
            </w:r>
          </w:p>
        </w:tc>
        <w:tc>
          <w:tcPr>
            <w:tcW w:w="924"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Increase/decrease</w:t>
            </w:r>
          </w:p>
        </w:tc>
      </w:tr>
      <w:tr w:rsidR="0033422F" w:rsidRPr="000F7900"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1</w:t>
            </w:r>
          </w:p>
        </w:tc>
        <w:tc>
          <w:tcPr>
            <w:tcW w:w="2169" w:type="pct"/>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Production and business value</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Million VND</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964,165</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701,333</w:t>
            </w:r>
          </w:p>
        </w:tc>
        <w:tc>
          <w:tcPr>
            <w:tcW w:w="92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262,832</w:t>
            </w:r>
          </w:p>
        </w:tc>
      </w:tr>
      <w:tr w:rsidR="0033422F" w:rsidRPr="000F7900"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2</w:t>
            </w:r>
          </w:p>
        </w:tc>
        <w:tc>
          <w:tcPr>
            <w:tcW w:w="2169" w:type="pct"/>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Revenue from goods sales</w:t>
            </w:r>
          </w:p>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(Excluding internal revenue)</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Million VND</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522,796</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696,344</w:t>
            </w:r>
          </w:p>
        </w:tc>
        <w:tc>
          <w:tcPr>
            <w:tcW w:w="92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-173,548</w:t>
            </w:r>
          </w:p>
        </w:tc>
      </w:tr>
      <w:tr w:rsidR="0033422F" w:rsidRPr="000F7900"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3</w:t>
            </w:r>
          </w:p>
        </w:tc>
        <w:tc>
          <w:tcPr>
            <w:tcW w:w="2169" w:type="pct"/>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Profit before tax</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Million VND</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43,497</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116,231</w:t>
            </w:r>
          </w:p>
        </w:tc>
        <w:tc>
          <w:tcPr>
            <w:tcW w:w="92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-72,734</w:t>
            </w:r>
          </w:p>
        </w:tc>
      </w:tr>
      <w:tr w:rsidR="0033422F" w:rsidRPr="000F7900"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4</w:t>
            </w:r>
          </w:p>
        </w:tc>
        <w:tc>
          <w:tcPr>
            <w:tcW w:w="2169" w:type="pct"/>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Profit before tax/Revenue rate</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8.32</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16.7</w:t>
            </w:r>
          </w:p>
        </w:tc>
        <w:tc>
          <w:tcPr>
            <w:tcW w:w="92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-8</w:t>
            </w:r>
          </w:p>
        </w:tc>
      </w:tr>
      <w:tr w:rsidR="0033422F" w:rsidRPr="000F7900"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5</w:t>
            </w:r>
          </w:p>
        </w:tc>
        <w:tc>
          <w:tcPr>
            <w:tcW w:w="2169" w:type="pct"/>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Profit before tax/Charter capital rate</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14.5</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38.7</w:t>
            </w:r>
          </w:p>
        </w:tc>
        <w:tc>
          <w:tcPr>
            <w:tcW w:w="92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-24</w:t>
            </w:r>
          </w:p>
        </w:tc>
      </w:tr>
      <w:tr w:rsidR="0033422F" w:rsidRPr="000F7900"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6</w:t>
            </w:r>
          </w:p>
        </w:tc>
        <w:tc>
          <w:tcPr>
            <w:tcW w:w="2169" w:type="pct"/>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Profit after tax/Charter capital rate</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11.6</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31.0</w:t>
            </w:r>
          </w:p>
        </w:tc>
        <w:tc>
          <w:tcPr>
            <w:tcW w:w="92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-19</w:t>
            </w:r>
          </w:p>
        </w:tc>
      </w:tr>
      <w:tr w:rsidR="0033422F" w:rsidRPr="000F7900"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7</w:t>
            </w:r>
          </w:p>
        </w:tc>
        <w:tc>
          <w:tcPr>
            <w:tcW w:w="2169" w:type="pct"/>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Expected dividend/Charter capital rate</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5</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15</w:t>
            </w:r>
          </w:p>
        </w:tc>
        <w:tc>
          <w:tcPr>
            <w:tcW w:w="92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-10</w:t>
            </w:r>
          </w:p>
        </w:tc>
      </w:tr>
      <w:tr w:rsidR="0033422F" w:rsidRPr="000F7900"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8</w:t>
            </w:r>
          </w:p>
        </w:tc>
        <w:tc>
          <w:tcPr>
            <w:tcW w:w="2169" w:type="pct"/>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Charter capital</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Million VND</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300,000</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300,000</w:t>
            </w:r>
          </w:p>
        </w:tc>
        <w:tc>
          <w:tcPr>
            <w:tcW w:w="92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0</w:t>
            </w:r>
          </w:p>
        </w:tc>
      </w:tr>
      <w:tr w:rsidR="0033422F" w:rsidRPr="000F7900"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9</w:t>
            </w:r>
          </w:p>
        </w:tc>
        <w:tc>
          <w:tcPr>
            <w:tcW w:w="2169" w:type="pct"/>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Payables to State Budget</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Million VND</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34,051</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64,321</w:t>
            </w:r>
          </w:p>
        </w:tc>
        <w:tc>
          <w:tcPr>
            <w:tcW w:w="92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-30,270</w:t>
            </w:r>
          </w:p>
        </w:tc>
      </w:tr>
      <w:tr w:rsidR="0033422F" w:rsidRPr="000F7900"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10</w:t>
            </w:r>
          </w:p>
        </w:tc>
        <w:tc>
          <w:tcPr>
            <w:tcW w:w="2169" w:type="pct"/>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Payables for social insurance, health insurance, unemployment insurance</w:t>
            </w:r>
          </w:p>
        </w:tc>
        <w:tc>
          <w:tcPr>
            <w:tcW w:w="485"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Million VND</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11,281</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9,388</w:t>
            </w:r>
          </w:p>
        </w:tc>
        <w:tc>
          <w:tcPr>
            <w:tcW w:w="92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1,893</w:t>
            </w:r>
          </w:p>
        </w:tc>
      </w:tr>
      <w:tr w:rsidR="0033422F" w:rsidRPr="002E439A" w:rsidTr="00AE39F8">
        <w:tc>
          <w:tcPr>
            <w:tcW w:w="236" w:type="pct"/>
            <w:shd w:val="clear" w:color="auto" w:fill="auto"/>
            <w:vAlign w:val="center"/>
          </w:tcPr>
          <w:p w:rsidR="0033422F" w:rsidRPr="000F7900" w:rsidRDefault="0033422F" w:rsidP="00A924FB">
            <w:pPr>
              <w:pStyle w:val="Other0"/>
              <w:spacing w:after="120" w:line="360" w:lineRule="auto"/>
              <w:ind w:firstLine="0"/>
              <w:jc w:val="center"/>
              <w:rPr>
                <w:rFonts w:ascii="Arial" w:hAnsi="Arial" w:cs="Arial"/>
                <w:color w:val="010000"/>
                <w:sz w:val="20"/>
              </w:rPr>
            </w:pPr>
            <w:r w:rsidRPr="000F7900">
              <w:rPr>
                <w:rFonts w:ascii="Arial" w:hAnsi="Arial" w:cs="Arial"/>
                <w:color w:val="010000"/>
                <w:sz w:val="20"/>
              </w:rPr>
              <w:t>11</w:t>
            </w:r>
          </w:p>
        </w:tc>
        <w:tc>
          <w:tcPr>
            <w:tcW w:w="2654" w:type="pct"/>
            <w:gridSpan w:val="2"/>
            <w:shd w:val="clear" w:color="auto" w:fill="auto"/>
            <w:vAlign w:val="center"/>
          </w:tcPr>
          <w:p w:rsidR="0033422F" w:rsidRPr="000F7900" w:rsidRDefault="0033422F" w:rsidP="00AE39F8">
            <w:pPr>
              <w:pStyle w:val="Other0"/>
              <w:spacing w:after="120" w:line="360" w:lineRule="auto"/>
              <w:ind w:firstLine="0"/>
              <w:rPr>
                <w:rFonts w:ascii="Arial" w:hAnsi="Arial" w:cs="Arial"/>
                <w:color w:val="010000"/>
                <w:sz w:val="20"/>
              </w:rPr>
            </w:pPr>
            <w:r w:rsidRPr="000F7900">
              <w:rPr>
                <w:rFonts w:ascii="Arial" w:hAnsi="Arial" w:cs="Arial"/>
                <w:color w:val="010000"/>
                <w:sz w:val="20"/>
              </w:rPr>
              <w:t>Average income (million VND/person/month)</w:t>
            </w:r>
          </w:p>
        </w:tc>
        <w:tc>
          <w:tcPr>
            <w:tcW w:w="611"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8.0</w:t>
            </w:r>
          </w:p>
        </w:tc>
        <w:tc>
          <w:tcPr>
            <w:tcW w:w="574" w:type="pct"/>
            <w:shd w:val="clear" w:color="auto" w:fill="auto"/>
            <w:vAlign w:val="center"/>
          </w:tcPr>
          <w:p w:rsidR="0033422F" w:rsidRPr="000F7900"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8.2</w:t>
            </w:r>
          </w:p>
        </w:tc>
        <w:tc>
          <w:tcPr>
            <w:tcW w:w="924" w:type="pct"/>
            <w:shd w:val="clear" w:color="auto" w:fill="auto"/>
            <w:vAlign w:val="center"/>
          </w:tcPr>
          <w:p w:rsidR="0033422F" w:rsidRPr="002E439A" w:rsidRDefault="0033422F" w:rsidP="00A924FB">
            <w:pPr>
              <w:pStyle w:val="Other0"/>
              <w:spacing w:after="120" w:line="360" w:lineRule="auto"/>
              <w:ind w:firstLine="0"/>
              <w:jc w:val="right"/>
              <w:rPr>
                <w:rFonts w:ascii="Arial" w:hAnsi="Arial" w:cs="Arial"/>
                <w:color w:val="010000"/>
                <w:sz w:val="20"/>
              </w:rPr>
            </w:pPr>
            <w:r w:rsidRPr="000F7900">
              <w:rPr>
                <w:rFonts w:ascii="Arial" w:hAnsi="Arial" w:cs="Arial"/>
                <w:color w:val="010000"/>
                <w:sz w:val="20"/>
              </w:rPr>
              <w:t>-0.2</w:t>
            </w:r>
          </w:p>
        </w:tc>
      </w:tr>
    </w:tbl>
    <w:p w:rsidR="0033422F" w:rsidRPr="002E439A" w:rsidRDefault="0033422F" w:rsidP="00AE39F8">
      <w:pPr>
        <w:pStyle w:val="Tablecaption0"/>
        <w:spacing w:after="120" w:line="360" w:lineRule="auto"/>
        <w:rPr>
          <w:rFonts w:ascii="Arial" w:hAnsi="Arial" w:cs="Arial"/>
          <w:b w:val="0"/>
          <w:color w:val="010000"/>
          <w:sz w:val="20"/>
        </w:rPr>
      </w:pPr>
      <w:r w:rsidRPr="002E439A">
        <w:rPr>
          <w:rFonts w:ascii="Arial" w:hAnsi="Arial" w:cs="Arial"/>
          <w:b w:val="0"/>
          <w:color w:val="010000"/>
          <w:sz w:val="20"/>
        </w:rPr>
        <w:t>Production and business plan targets for 2024.</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6"/>
        <w:gridCol w:w="4486"/>
        <w:gridCol w:w="1221"/>
        <w:gridCol w:w="1522"/>
        <w:gridCol w:w="1252"/>
      </w:tblGrid>
      <w:tr w:rsidR="0033422F" w:rsidRPr="002E439A" w:rsidTr="002E439A">
        <w:tc>
          <w:tcPr>
            <w:tcW w:w="313" w:type="pct"/>
            <w:shd w:val="clear" w:color="auto" w:fill="auto"/>
            <w:vAlign w:val="center"/>
          </w:tcPr>
          <w:p w:rsidR="0033422F" w:rsidRPr="006102EB" w:rsidRDefault="00AE39F8" w:rsidP="006102EB">
            <w:pPr>
              <w:pStyle w:val="Other0"/>
              <w:spacing w:after="120" w:line="360" w:lineRule="auto"/>
              <w:ind w:firstLine="0"/>
              <w:jc w:val="center"/>
              <w:rPr>
                <w:rFonts w:ascii="Arial" w:hAnsi="Arial" w:cs="Arial"/>
                <w:color w:val="010000"/>
                <w:sz w:val="20"/>
                <w:szCs w:val="28"/>
              </w:rPr>
            </w:pPr>
            <w:r w:rsidRPr="006102EB">
              <w:rPr>
                <w:rFonts w:ascii="Arial" w:hAnsi="Arial" w:cs="Arial"/>
                <w:color w:val="010000"/>
                <w:sz w:val="20"/>
              </w:rPr>
              <w:t>No.</w:t>
            </w:r>
          </w:p>
        </w:tc>
        <w:tc>
          <w:tcPr>
            <w:tcW w:w="2479"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szCs w:val="28"/>
              </w:rPr>
            </w:pPr>
            <w:r w:rsidRPr="006102EB">
              <w:rPr>
                <w:rFonts w:ascii="Arial" w:hAnsi="Arial" w:cs="Arial"/>
                <w:color w:val="010000"/>
                <w:sz w:val="20"/>
              </w:rPr>
              <w:t>Targets</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szCs w:val="28"/>
              </w:rPr>
            </w:pPr>
            <w:r w:rsidRPr="006102EB">
              <w:rPr>
                <w:rFonts w:ascii="Arial" w:hAnsi="Arial" w:cs="Arial"/>
                <w:color w:val="010000"/>
                <w:sz w:val="20"/>
              </w:rPr>
              <w:t>Unit</w:t>
            </w:r>
          </w:p>
        </w:tc>
        <w:tc>
          <w:tcPr>
            <w:tcW w:w="841"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szCs w:val="28"/>
              </w:rPr>
            </w:pPr>
            <w:r w:rsidRPr="006102EB">
              <w:rPr>
                <w:rFonts w:ascii="Arial" w:hAnsi="Arial" w:cs="Arial"/>
                <w:color w:val="010000"/>
                <w:sz w:val="20"/>
              </w:rPr>
              <w:t>Value</w:t>
            </w:r>
          </w:p>
        </w:tc>
        <w:tc>
          <w:tcPr>
            <w:tcW w:w="692"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szCs w:val="28"/>
              </w:rPr>
            </w:pPr>
            <w:r w:rsidRPr="006102EB">
              <w:rPr>
                <w:rFonts w:ascii="Arial" w:hAnsi="Arial" w:cs="Arial"/>
                <w:color w:val="010000"/>
                <w:sz w:val="20"/>
              </w:rPr>
              <w:t>Note</w:t>
            </w: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1</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color w:val="010000"/>
                <w:sz w:val="20"/>
              </w:rPr>
            </w:pPr>
            <w:r w:rsidRPr="006102EB">
              <w:rPr>
                <w:rFonts w:ascii="Arial" w:hAnsi="Arial" w:cs="Arial"/>
                <w:color w:val="010000"/>
                <w:sz w:val="20"/>
              </w:rPr>
              <w:t>Production and business value</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Million VND</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color w:val="010000"/>
                <w:sz w:val="20"/>
              </w:rPr>
            </w:pPr>
            <w:r w:rsidRPr="006102EB">
              <w:rPr>
                <w:rFonts w:ascii="Arial" w:hAnsi="Arial" w:cs="Arial"/>
                <w:color w:val="010000"/>
                <w:sz w:val="20"/>
              </w:rPr>
              <w:t>719,473</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2</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color w:val="010000"/>
                <w:sz w:val="20"/>
              </w:rPr>
            </w:pPr>
            <w:r w:rsidRPr="006102EB">
              <w:rPr>
                <w:rFonts w:ascii="Arial" w:hAnsi="Arial" w:cs="Arial"/>
                <w:color w:val="010000"/>
                <w:sz w:val="20"/>
              </w:rPr>
              <w:t>Revenue</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Million VND</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color w:val="010000"/>
                <w:sz w:val="20"/>
              </w:rPr>
            </w:pPr>
            <w:r w:rsidRPr="006102EB">
              <w:rPr>
                <w:rFonts w:ascii="Arial" w:hAnsi="Arial" w:cs="Arial"/>
                <w:color w:val="010000"/>
                <w:sz w:val="20"/>
              </w:rPr>
              <w:t>793,433</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3</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color w:val="010000"/>
                <w:sz w:val="20"/>
              </w:rPr>
            </w:pPr>
            <w:r w:rsidRPr="006102EB">
              <w:rPr>
                <w:rFonts w:ascii="Arial" w:hAnsi="Arial" w:cs="Arial"/>
                <w:color w:val="010000"/>
                <w:sz w:val="20"/>
              </w:rPr>
              <w:t>Profit before tax</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Million VND</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color w:val="010000"/>
                <w:sz w:val="20"/>
              </w:rPr>
            </w:pPr>
            <w:r w:rsidRPr="006102EB">
              <w:rPr>
                <w:rFonts w:ascii="Arial" w:hAnsi="Arial" w:cs="Arial"/>
                <w:color w:val="010000"/>
                <w:sz w:val="20"/>
              </w:rPr>
              <w:t>46,870</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4</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color w:val="010000"/>
                <w:sz w:val="20"/>
              </w:rPr>
            </w:pPr>
            <w:r w:rsidRPr="006102EB">
              <w:rPr>
                <w:rFonts w:ascii="Arial" w:hAnsi="Arial" w:cs="Arial"/>
                <w:color w:val="010000"/>
                <w:sz w:val="20"/>
              </w:rPr>
              <w:t>Profit before tax/Revenue rate</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color w:val="010000"/>
                <w:sz w:val="20"/>
              </w:rPr>
            </w:pPr>
            <w:r w:rsidRPr="006102EB">
              <w:rPr>
                <w:rFonts w:ascii="Arial" w:hAnsi="Arial" w:cs="Arial"/>
                <w:color w:val="010000"/>
                <w:sz w:val="20"/>
              </w:rPr>
              <w:t>5.91</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lastRenderedPageBreak/>
              <w:t>5</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color w:val="010000"/>
                <w:sz w:val="20"/>
              </w:rPr>
            </w:pPr>
            <w:r w:rsidRPr="006102EB">
              <w:rPr>
                <w:rFonts w:ascii="Arial" w:hAnsi="Arial" w:cs="Arial"/>
                <w:color w:val="010000"/>
                <w:sz w:val="20"/>
              </w:rPr>
              <w:t>Profit before tax/Charter capital rate</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color w:val="010000"/>
                <w:sz w:val="20"/>
              </w:rPr>
            </w:pPr>
            <w:r w:rsidRPr="006102EB">
              <w:rPr>
                <w:rFonts w:ascii="Arial" w:hAnsi="Arial" w:cs="Arial"/>
                <w:color w:val="010000"/>
                <w:sz w:val="20"/>
              </w:rPr>
              <w:t>15.62</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6</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color w:val="010000"/>
                <w:sz w:val="20"/>
              </w:rPr>
            </w:pPr>
            <w:r w:rsidRPr="006102EB">
              <w:rPr>
                <w:rFonts w:ascii="Arial" w:hAnsi="Arial" w:cs="Arial"/>
                <w:color w:val="010000"/>
                <w:sz w:val="20"/>
              </w:rPr>
              <w:t>Expected dividend</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w:t>
            </w:r>
            <w:bookmarkStart w:id="0" w:name="_GoBack"/>
            <w:bookmarkEnd w:id="0"/>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color w:val="010000"/>
                <w:sz w:val="20"/>
              </w:rPr>
            </w:pPr>
            <w:r w:rsidRPr="006102EB">
              <w:rPr>
                <w:rFonts w:ascii="Arial" w:hAnsi="Arial" w:cs="Arial"/>
                <w:color w:val="010000"/>
                <w:sz w:val="20"/>
              </w:rPr>
              <w:t>5</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7</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color w:val="010000"/>
                <w:sz w:val="20"/>
              </w:rPr>
            </w:pPr>
            <w:r w:rsidRPr="006102EB">
              <w:rPr>
                <w:rFonts w:ascii="Arial" w:hAnsi="Arial" w:cs="Arial"/>
                <w:color w:val="010000"/>
                <w:sz w:val="20"/>
              </w:rPr>
              <w:t>Payables to State Budget</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Million VND</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color w:val="010000"/>
                <w:sz w:val="20"/>
              </w:rPr>
            </w:pPr>
            <w:r w:rsidRPr="006102EB">
              <w:rPr>
                <w:rFonts w:ascii="Arial" w:hAnsi="Arial" w:cs="Arial"/>
                <w:color w:val="010000"/>
                <w:sz w:val="20"/>
              </w:rPr>
              <w:t>35,000</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8</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color w:val="010000"/>
                <w:sz w:val="20"/>
              </w:rPr>
            </w:pPr>
            <w:r w:rsidRPr="006102EB">
              <w:rPr>
                <w:rFonts w:ascii="Arial" w:hAnsi="Arial" w:cs="Arial"/>
                <w:color w:val="010000"/>
                <w:sz w:val="20"/>
              </w:rPr>
              <w:t>Investment, including:</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Million VND</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color w:val="010000"/>
                <w:sz w:val="20"/>
              </w:rPr>
            </w:pPr>
            <w:r w:rsidRPr="006102EB">
              <w:rPr>
                <w:rFonts w:ascii="Arial" w:hAnsi="Arial" w:cs="Arial"/>
                <w:color w:val="010000"/>
                <w:sz w:val="20"/>
              </w:rPr>
              <w:t>56,410</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i/>
                <w:color w:val="010000"/>
                <w:sz w:val="20"/>
              </w:rPr>
            </w:pPr>
            <w:r w:rsidRPr="006102EB">
              <w:rPr>
                <w:rFonts w:ascii="Arial" w:hAnsi="Arial" w:cs="Arial"/>
                <w:i/>
                <w:color w:val="010000"/>
                <w:sz w:val="20"/>
              </w:rPr>
              <w:t>8.1</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i/>
                <w:color w:val="010000"/>
                <w:sz w:val="20"/>
              </w:rPr>
            </w:pPr>
            <w:r w:rsidRPr="006102EB">
              <w:rPr>
                <w:rFonts w:ascii="Arial" w:hAnsi="Arial" w:cs="Arial"/>
                <w:i/>
                <w:color w:val="010000"/>
                <w:sz w:val="20"/>
              </w:rPr>
              <w:t xml:space="preserve">Tan </w:t>
            </w:r>
            <w:proofErr w:type="spellStart"/>
            <w:r w:rsidRPr="006102EB">
              <w:rPr>
                <w:rFonts w:ascii="Arial" w:hAnsi="Arial" w:cs="Arial"/>
                <w:i/>
                <w:color w:val="010000"/>
                <w:sz w:val="20"/>
              </w:rPr>
              <w:t>Ky</w:t>
            </w:r>
            <w:proofErr w:type="spellEnd"/>
            <w:r w:rsidRPr="006102EB">
              <w:rPr>
                <w:rFonts w:ascii="Arial" w:hAnsi="Arial" w:cs="Arial"/>
                <w:i/>
                <w:color w:val="010000"/>
                <w:sz w:val="20"/>
              </w:rPr>
              <w:t xml:space="preserve"> raw material processing factory (Estimated value in 2024)</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i/>
                <w:color w:val="010000"/>
                <w:sz w:val="20"/>
              </w:rPr>
            </w:pPr>
            <w:r w:rsidRPr="006102EB">
              <w:rPr>
                <w:rFonts w:ascii="Arial" w:hAnsi="Arial" w:cs="Arial"/>
                <w:i/>
                <w:color w:val="010000"/>
                <w:sz w:val="20"/>
              </w:rPr>
              <w:t>Million VND</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i/>
                <w:color w:val="010000"/>
                <w:sz w:val="20"/>
              </w:rPr>
            </w:pPr>
            <w:r w:rsidRPr="006102EB">
              <w:rPr>
                <w:rFonts w:ascii="Arial" w:hAnsi="Arial" w:cs="Arial"/>
                <w:i/>
                <w:color w:val="010000"/>
                <w:sz w:val="20"/>
              </w:rPr>
              <w:t>25,000</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i/>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i/>
                <w:color w:val="010000"/>
                <w:sz w:val="20"/>
              </w:rPr>
            </w:pPr>
            <w:r w:rsidRPr="006102EB">
              <w:rPr>
                <w:rFonts w:ascii="Arial" w:hAnsi="Arial" w:cs="Arial"/>
                <w:i/>
                <w:color w:val="010000"/>
                <w:sz w:val="20"/>
              </w:rPr>
              <w:t>8.2</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i/>
                <w:color w:val="010000"/>
                <w:sz w:val="20"/>
              </w:rPr>
            </w:pPr>
            <w:r w:rsidRPr="006102EB">
              <w:rPr>
                <w:rFonts w:ascii="Arial" w:hAnsi="Arial" w:cs="Arial"/>
                <w:i/>
                <w:color w:val="010000"/>
                <w:sz w:val="20"/>
              </w:rPr>
              <w:t>Expanding and upgrading the commercial concrete mixing plant at Trung Do Nam Giang Enterprise</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i/>
                <w:color w:val="010000"/>
                <w:sz w:val="20"/>
              </w:rPr>
            </w:pPr>
            <w:r w:rsidRPr="006102EB">
              <w:rPr>
                <w:rFonts w:ascii="Arial" w:hAnsi="Arial" w:cs="Arial"/>
                <w:i/>
                <w:color w:val="010000"/>
                <w:sz w:val="20"/>
              </w:rPr>
              <w:t>Million VND</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i/>
                <w:color w:val="010000"/>
                <w:sz w:val="20"/>
              </w:rPr>
            </w:pPr>
            <w:r w:rsidRPr="006102EB">
              <w:rPr>
                <w:rFonts w:ascii="Arial" w:hAnsi="Arial" w:cs="Arial"/>
                <w:i/>
                <w:color w:val="010000"/>
                <w:sz w:val="20"/>
              </w:rPr>
              <w:t>26,410</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i/>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i/>
                <w:color w:val="010000"/>
                <w:sz w:val="20"/>
              </w:rPr>
            </w:pPr>
            <w:r w:rsidRPr="006102EB">
              <w:rPr>
                <w:rFonts w:ascii="Arial" w:hAnsi="Arial" w:cs="Arial"/>
                <w:i/>
                <w:color w:val="010000"/>
                <w:sz w:val="20"/>
              </w:rPr>
              <w:t>8.3</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i/>
                <w:color w:val="010000"/>
                <w:sz w:val="20"/>
              </w:rPr>
            </w:pPr>
            <w:proofErr w:type="spellStart"/>
            <w:r w:rsidRPr="006102EB">
              <w:rPr>
                <w:rFonts w:ascii="Arial" w:hAnsi="Arial" w:cs="Arial"/>
                <w:i/>
                <w:color w:val="010000"/>
                <w:sz w:val="20"/>
              </w:rPr>
              <w:t>Slabstone</w:t>
            </w:r>
            <w:proofErr w:type="spellEnd"/>
            <w:r w:rsidRPr="006102EB">
              <w:rPr>
                <w:rFonts w:ascii="Arial" w:hAnsi="Arial" w:cs="Arial"/>
                <w:i/>
                <w:color w:val="010000"/>
                <w:sz w:val="20"/>
              </w:rPr>
              <w:t xml:space="preserve"> showroom in </w:t>
            </w:r>
            <w:proofErr w:type="spellStart"/>
            <w:r w:rsidRPr="006102EB">
              <w:rPr>
                <w:rFonts w:ascii="Arial" w:hAnsi="Arial" w:cs="Arial"/>
                <w:i/>
                <w:color w:val="010000"/>
                <w:sz w:val="20"/>
              </w:rPr>
              <w:t>Vinh</w:t>
            </w:r>
            <w:proofErr w:type="spellEnd"/>
            <w:r w:rsidRPr="006102EB">
              <w:rPr>
                <w:rFonts w:ascii="Arial" w:hAnsi="Arial" w:cs="Arial"/>
                <w:i/>
                <w:color w:val="010000"/>
                <w:sz w:val="20"/>
              </w:rPr>
              <w:t xml:space="preserve"> City and Ho Chi Minh City (No cash for premises)</w:t>
            </w:r>
            <w:r w:rsidR="00AE39F8" w:rsidRPr="006102EB">
              <w:rPr>
                <w:rFonts w:ascii="Arial" w:hAnsi="Arial" w:cs="Arial"/>
                <w:i/>
                <w:color w:val="010000"/>
                <w:sz w:val="20"/>
              </w:rPr>
              <w:t xml:space="preserve"> </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i/>
                <w:color w:val="010000"/>
                <w:sz w:val="20"/>
              </w:rPr>
            </w:pPr>
            <w:r w:rsidRPr="006102EB">
              <w:rPr>
                <w:rFonts w:ascii="Arial" w:hAnsi="Arial" w:cs="Arial"/>
                <w:i/>
                <w:color w:val="010000"/>
                <w:sz w:val="20"/>
              </w:rPr>
              <w:t>Million VND</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i/>
                <w:color w:val="010000"/>
                <w:sz w:val="20"/>
              </w:rPr>
            </w:pPr>
            <w:r w:rsidRPr="006102EB">
              <w:rPr>
                <w:rFonts w:ascii="Arial" w:hAnsi="Arial" w:cs="Arial"/>
                <w:i/>
                <w:color w:val="010000"/>
                <w:sz w:val="20"/>
              </w:rPr>
              <w:t>5,000</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i/>
                <w:color w:val="010000"/>
                <w:sz w:val="20"/>
                <w:szCs w:val="10"/>
              </w:rPr>
            </w:pPr>
          </w:p>
        </w:tc>
      </w:tr>
      <w:tr w:rsidR="0033422F" w:rsidRPr="002E439A" w:rsidTr="002E439A">
        <w:tc>
          <w:tcPr>
            <w:tcW w:w="313"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9</w:t>
            </w:r>
          </w:p>
        </w:tc>
        <w:tc>
          <w:tcPr>
            <w:tcW w:w="2479" w:type="pct"/>
            <w:shd w:val="clear" w:color="auto" w:fill="auto"/>
            <w:vAlign w:val="center"/>
          </w:tcPr>
          <w:p w:rsidR="0033422F" w:rsidRPr="006102EB" w:rsidRDefault="0033422F" w:rsidP="00AE39F8">
            <w:pPr>
              <w:pStyle w:val="Other0"/>
              <w:spacing w:after="120" w:line="360" w:lineRule="auto"/>
              <w:ind w:firstLine="0"/>
              <w:rPr>
                <w:rFonts w:ascii="Arial" w:hAnsi="Arial" w:cs="Arial"/>
                <w:color w:val="010000"/>
                <w:sz w:val="20"/>
              </w:rPr>
            </w:pPr>
            <w:r w:rsidRPr="006102EB">
              <w:rPr>
                <w:rFonts w:ascii="Arial" w:hAnsi="Arial" w:cs="Arial"/>
                <w:color w:val="010000"/>
                <w:sz w:val="20"/>
              </w:rPr>
              <w:t>Charter capital</w:t>
            </w:r>
          </w:p>
        </w:tc>
        <w:tc>
          <w:tcPr>
            <w:tcW w:w="675" w:type="pct"/>
            <w:shd w:val="clear" w:color="auto" w:fill="auto"/>
            <w:vAlign w:val="center"/>
          </w:tcPr>
          <w:p w:rsidR="0033422F" w:rsidRPr="006102EB" w:rsidRDefault="0033422F" w:rsidP="006102EB">
            <w:pPr>
              <w:pStyle w:val="Other0"/>
              <w:spacing w:after="120" w:line="360" w:lineRule="auto"/>
              <w:ind w:firstLine="0"/>
              <w:jc w:val="center"/>
              <w:rPr>
                <w:rFonts w:ascii="Arial" w:hAnsi="Arial" w:cs="Arial"/>
                <w:color w:val="010000"/>
                <w:sz w:val="20"/>
              </w:rPr>
            </w:pPr>
            <w:r w:rsidRPr="006102EB">
              <w:rPr>
                <w:rFonts w:ascii="Arial" w:hAnsi="Arial" w:cs="Arial"/>
                <w:color w:val="010000"/>
                <w:sz w:val="20"/>
              </w:rPr>
              <w:t>Million VND</w:t>
            </w:r>
          </w:p>
        </w:tc>
        <w:tc>
          <w:tcPr>
            <w:tcW w:w="841" w:type="pct"/>
            <w:shd w:val="clear" w:color="auto" w:fill="auto"/>
            <w:vAlign w:val="center"/>
          </w:tcPr>
          <w:p w:rsidR="0033422F" w:rsidRPr="006102EB" w:rsidRDefault="0033422F" w:rsidP="006102EB">
            <w:pPr>
              <w:pStyle w:val="Other0"/>
              <w:spacing w:after="120" w:line="360" w:lineRule="auto"/>
              <w:ind w:firstLine="0"/>
              <w:jc w:val="right"/>
              <w:rPr>
                <w:rFonts w:ascii="Arial" w:hAnsi="Arial" w:cs="Arial"/>
                <w:color w:val="010000"/>
                <w:sz w:val="20"/>
              </w:rPr>
            </w:pPr>
            <w:r w:rsidRPr="006102EB">
              <w:rPr>
                <w:rFonts w:ascii="Arial" w:hAnsi="Arial" w:cs="Arial"/>
                <w:color w:val="010000"/>
                <w:sz w:val="20"/>
              </w:rPr>
              <w:t>300,000</w:t>
            </w:r>
          </w:p>
        </w:tc>
        <w:tc>
          <w:tcPr>
            <w:tcW w:w="692" w:type="pct"/>
            <w:shd w:val="clear" w:color="auto" w:fill="auto"/>
            <w:vAlign w:val="center"/>
          </w:tcPr>
          <w:p w:rsidR="0033422F" w:rsidRPr="006102EB" w:rsidRDefault="0033422F" w:rsidP="006102EB">
            <w:pPr>
              <w:spacing w:after="120" w:line="360" w:lineRule="auto"/>
              <w:jc w:val="right"/>
              <w:rPr>
                <w:rFonts w:ascii="Arial" w:hAnsi="Arial" w:cs="Arial"/>
                <w:color w:val="010000"/>
                <w:sz w:val="20"/>
                <w:szCs w:val="10"/>
              </w:rPr>
            </w:pPr>
          </w:p>
        </w:tc>
      </w:tr>
    </w:tbl>
    <w:p w:rsidR="00D4528A" w:rsidRPr="002E439A" w:rsidRDefault="001B1843" w:rsidP="00497148">
      <w:pPr>
        <w:pStyle w:val="BodyText"/>
        <w:spacing w:after="120" w:line="360" w:lineRule="auto"/>
        <w:ind w:firstLine="0"/>
        <w:jc w:val="both"/>
        <w:rPr>
          <w:rFonts w:ascii="Arial" w:hAnsi="Arial" w:cs="Arial"/>
          <w:color w:val="010000"/>
          <w:sz w:val="20"/>
        </w:rPr>
      </w:pPr>
      <w:proofErr w:type="gramStart"/>
      <w:r w:rsidRPr="002E439A">
        <w:rPr>
          <w:rFonts w:ascii="Arial" w:hAnsi="Arial" w:cs="Arial"/>
          <w:color w:val="010000"/>
          <w:sz w:val="20"/>
        </w:rPr>
        <w:t>‎‎Article 2.</w:t>
      </w:r>
      <w:proofErr w:type="gramEnd"/>
      <w:r w:rsidRPr="002E439A">
        <w:rPr>
          <w:rFonts w:ascii="Arial" w:hAnsi="Arial" w:cs="Arial"/>
          <w:color w:val="010000"/>
          <w:sz w:val="20"/>
        </w:rPr>
        <w:t xml:space="preserve"> Approve the Report of the Board of Directors on activities of the Board of Directors in 2023 and the plan on activities of the Board of Directors for 2024.</w:t>
      </w:r>
    </w:p>
    <w:p w:rsidR="00D4528A" w:rsidRPr="002E439A" w:rsidRDefault="001B1843" w:rsidP="00497148">
      <w:pPr>
        <w:pStyle w:val="BodyText"/>
        <w:spacing w:after="120" w:line="360" w:lineRule="auto"/>
        <w:ind w:firstLine="0"/>
        <w:jc w:val="both"/>
        <w:rPr>
          <w:rFonts w:ascii="Arial" w:hAnsi="Arial" w:cs="Arial"/>
          <w:color w:val="010000"/>
          <w:sz w:val="20"/>
        </w:rPr>
      </w:pPr>
      <w:proofErr w:type="gramStart"/>
      <w:r w:rsidRPr="002E439A">
        <w:rPr>
          <w:rFonts w:ascii="Arial" w:hAnsi="Arial" w:cs="Arial"/>
          <w:color w:val="010000"/>
          <w:sz w:val="20"/>
        </w:rPr>
        <w:t>‎‎Article 3.</w:t>
      </w:r>
      <w:proofErr w:type="gramEnd"/>
      <w:r w:rsidRPr="002E439A">
        <w:rPr>
          <w:rFonts w:ascii="Arial" w:hAnsi="Arial" w:cs="Arial"/>
          <w:color w:val="010000"/>
          <w:sz w:val="20"/>
        </w:rPr>
        <w:t xml:space="preserve"> Approve the Report of the Supervisory Board in 2023.</w:t>
      </w:r>
    </w:p>
    <w:p w:rsidR="00D4528A" w:rsidRPr="002E439A" w:rsidRDefault="0033422F" w:rsidP="00497148">
      <w:pPr>
        <w:pStyle w:val="BodyText"/>
        <w:spacing w:after="120" w:line="360" w:lineRule="auto"/>
        <w:ind w:firstLine="0"/>
        <w:jc w:val="both"/>
        <w:rPr>
          <w:rFonts w:ascii="Arial" w:hAnsi="Arial" w:cs="Arial"/>
          <w:color w:val="010000"/>
          <w:sz w:val="20"/>
        </w:rPr>
      </w:pPr>
      <w:proofErr w:type="gramStart"/>
      <w:r w:rsidRPr="002E439A">
        <w:rPr>
          <w:rFonts w:ascii="Arial" w:hAnsi="Arial" w:cs="Arial"/>
          <w:color w:val="010000"/>
          <w:sz w:val="20"/>
        </w:rPr>
        <w:t>‎‎Article 4.</w:t>
      </w:r>
      <w:proofErr w:type="gramEnd"/>
      <w:r w:rsidRPr="002E439A">
        <w:rPr>
          <w:rFonts w:ascii="Arial" w:hAnsi="Arial" w:cs="Arial"/>
          <w:color w:val="010000"/>
          <w:sz w:val="20"/>
        </w:rPr>
        <w:t xml:space="preserve"> Approve the Proposal on the Audited Financial Statements 2023.</w:t>
      </w:r>
    </w:p>
    <w:p w:rsidR="00D4528A" w:rsidRPr="002E439A" w:rsidRDefault="0033422F" w:rsidP="00497148">
      <w:pPr>
        <w:pStyle w:val="BodyText"/>
        <w:spacing w:after="120" w:line="360" w:lineRule="auto"/>
        <w:ind w:firstLine="0"/>
        <w:jc w:val="both"/>
        <w:rPr>
          <w:rFonts w:ascii="Arial" w:hAnsi="Arial" w:cs="Arial"/>
          <w:color w:val="010000"/>
          <w:sz w:val="20"/>
        </w:rPr>
      </w:pPr>
      <w:proofErr w:type="gramStart"/>
      <w:r w:rsidRPr="002E439A">
        <w:rPr>
          <w:rFonts w:ascii="Arial" w:hAnsi="Arial" w:cs="Arial"/>
          <w:color w:val="010000"/>
          <w:sz w:val="20"/>
        </w:rPr>
        <w:t>‎‎Article 5.</w:t>
      </w:r>
      <w:proofErr w:type="gramEnd"/>
      <w:r w:rsidRPr="002E439A">
        <w:rPr>
          <w:rFonts w:ascii="Arial" w:hAnsi="Arial" w:cs="Arial"/>
          <w:color w:val="010000"/>
          <w:sz w:val="20"/>
        </w:rPr>
        <w:t xml:space="preserve"> Approve the Proposal on the plan on profit distribution and dividend payment in 2023.</w:t>
      </w:r>
    </w:p>
    <w:p w:rsidR="00D4528A" w:rsidRPr="002E439A" w:rsidRDefault="001B1843" w:rsidP="00497148">
      <w:pPr>
        <w:pStyle w:val="BodyText"/>
        <w:numPr>
          <w:ilvl w:val="0"/>
          <w:numId w:val="1"/>
        </w:numPr>
        <w:tabs>
          <w:tab w:val="left" w:pos="652"/>
        </w:tabs>
        <w:spacing w:after="120" w:line="360" w:lineRule="auto"/>
        <w:ind w:firstLine="0"/>
        <w:jc w:val="both"/>
        <w:rPr>
          <w:rFonts w:ascii="Arial" w:hAnsi="Arial" w:cs="Arial"/>
          <w:color w:val="010000"/>
          <w:sz w:val="20"/>
        </w:rPr>
      </w:pPr>
      <w:r w:rsidRPr="002E439A">
        <w:rPr>
          <w:rFonts w:ascii="Arial" w:hAnsi="Arial" w:cs="Arial"/>
          <w:color w:val="010000"/>
          <w:sz w:val="20"/>
        </w:rPr>
        <w:t>Dividend payment rate of 5%/par value of share.</w:t>
      </w:r>
    </w:p>
    <w:p w:rsidR="00D4528A" w:rsidRPr="002E439A" w:rsidRDefault="001B1843" w:rsidP="00497148">
      <w:pPr>
        <w:pStyle w:val="BodyText"/>
        <w:numPr>
          <w:ilvl w:val="0"/>
          <w:numId w:val="1"/>
        </w:numPr>
        <w:tabs>
          <w:tab w:val="left" w:pos="689"/>
        </w:tabs>
        <w:spacing w:after="120" w:line="360" w:lineRule="auto"/>
        <w:ind w:firstLine="0"/>
        <w:jc w:val="both"/>
        <w:rPr>
          <w:rFonts w:ascii="Arial" w:hAnsi="Arial" w:cs="Arial"/>
          <w:color w:val="010000"/>
          <w:sz w:val="20"/>
        </w:rPr>
      </w:pPr>
      <w:r w:rsidRPr="002E439A">
        <w:rPr>
          <w:rFonts w:ascii="Arial" w:hAnsi="Arial" w:cs="Arial"/>
          <w:color w:val="010000"/>
          <w:sz w:val="20"/>
        </w:rPr>
        <w:t>Eligible buyer: Dividends calculated for all owned shares of Trung Do Joint Stock Company on the record date for the list of shareholders to pay dividends of Vietnam Securities Depository and Clearing Corporation.</w:t>
      </w:r>
    </w:p>
    <w:p w:rsidR="00D4528A" w:rsidRPr="002E439A" w:rsidRDefault="001B1843" w:rsidP="00497148">
      <w:pPr>
        <w:pStyle w:val="BodyText"/>
        <w:numPr>
          <w:ilvl w:val="0"/>
          <w:numId w:val="1"/>
        </w:numPr>
        <w:tabs>
          <w:tab w:val="left" w:pos="652"/>
        </w:tabs>
        <w:spacing w:after="120" w:line="360" w:lineRule="auto"/>
        <w:ind w:firstLine="0"/>
        <w:jc w:val="both"/>
        <w:rPr>
          <w:rFonts w:ascii="Arial" w:hAnsi="Arial" w:cs="Arial"/>
          <w:color w:val="010000"/>
          <w:sz w:val="20"/>
        </w:rPr>
      </w:pPr>
      <w:r w:rsidRPr="002E439A">
        <w:rPr>
          <w:rFonts w:ascii="Arial" w:hAnsi="Arial" w:cs="Arial"/>
          <w:color w:val="010000"/>
          <w:sz w:val="20"/>
        </w:rPr>
        <w:t>Implementation time: Authorize the Board of Directors to decide on the time to pay dividends in accordance with the provisions of law.</w:t>
      </w:r>
    </w:p>
    <w:p w:rsidR="00D4528A" w:rsidRPr="002E439A" w:rsidRDefault="001B1843" w:rsidP="00497148">
      <w:pPr>
        <w:pStyle w:val="BodyText"/>
        <w:spacing w:after="120" w:line="360" w:lineRule="auto"/>
        <w:ind w:firstLine="0"/>
        <w:jc w:val="both"/>
        <w:rPr>
          <w:rFonts w:ascii="Arial" w:hAnsi="Arial" w:cs="Arial"/>
          <w:color w:val="010000"/>
          <w:sz w:val="20"/>
        </w:rPr>
      </w:pPr>
      <w:proofErr w:type="gramStart"/>
      <w:r w:rsidRPr="002E439A">
        <w:rPr>
          <w:rFonts w:ascii="Arial" w:hAnsi="Arial" w:cs="Arial"/>
          <w:color w:val="010000"/>
          <w:sz w:val="20"/>
        </w:rPr>
        <w:t>‎‎Article 6.</w:t>
      </w:r>
      <w:proofErr w:type="gramEnd"/>
      <w:r w:rsidRPr="002E439A">
        <w:rPr>
          <w:rFonts w:ascii="Arial" w:hAnsi="Arial" w:cs="Arial"/>
          <w:color w:val="010000"/>
          <w:sz w:val="20"/>
        </w:rPr>
        <w:t xml:space="preserve"> Approve the Proposal on remuneration for the Board of Directors and the Supervisory Board in 2023 and </w:t>
      </w:r>
      <w:r w:rsidR="002E439A" w:rsidRPr="002E439A">
        <w:rPr>
          <w:rFonts w:ascii="Arial" w:hAnsi="Arial" w:cs="Arial"/>
          <w:color w:val="010000"/>
          <w:sz w:val="20"/>
        </w:rPr>
        <w:t xml:space="preserve">the </w:t>
      </w:r>
      <w:r w:rsidRPr="002E439A">
        <w:rPr>
          <w:rFonts w:ascii="Arial" w:hAnsi="Arial" w:cs="Arial"/>
          <w:color w:val="010000"/>
          <w:sz w:val="20"/>
        </w:rPr>
        <w:t>proposal for 2024</w:t>
      </w:r>
    </w:p>
    <w:p w:rsidR="00D4528A" w:rsidRPr="002E439A" w:rsidRDefault="001B1843" w:rsidP="00497148">
      <w:pPr>
        <w:pStyle w:val="BodyText"/>
        <w:numPr>
          <w:ilvl w:val="0"/>
          <w:numId w:val="2"/>
        </w:numPr>
        <w:tabs>
          <w:tab w:val="left" w:pos="757"/>
        </w:tabs>
        <w:spacing w:after="120" w:line="360" w:lineRule="auto"/>
        <w:ind w:firstLine="0"/>
        <w:jc w:val="both"/>
        <w:rPr>
          <w:rFonts w:ascii="Arial" w:hAnsi="Arial" w:cs="Arial"/>
          <w:color w:val="010000"/>
          <w:sz w:val="20"/>
        </w:rPr>
      </w:pPr>
      <w:r w:rsidRPr="002E439A">
        <w:rPr>
          <w:rFonts w:ascii="Arial" w:hAnsi="Arial" w:cs="Arial"/>
          <w:color w:val="010000"/>
          <w:sz w:val="20"/>
        </w:rPr>
        <w:t>In 2023:</w:t>
      </w:r>
    </w:p>
    <w:p w:rsidR="00D4528A" w:rsidRPr="002E439A" w:rsidRDefault="001B1843" w:rsidP="00497148">
      <w:pPr>
        <w:pStyle w:val="BodyText"/>
        <w:numPr>
          <w:ilvl w:val="0"/>
          <w:numId w:val="1"/>
        </w:numPr>
        <w:tabs>
          <w:tab w:val="left" w:pos="710"/>
        </w:tabs>
        <w:spacing w:after="120" w:line="360" w:lineRule="auto"/>
        <w:ind w:firstLine="0"/>
        <w:jc w:val="both"/>
        <w:rPr>
          <w:rFonts w:ascii="Arial" w:hAnsi="Arial" w:cs="Arial"/>
          <w:color w:val="010000"/>
          <w:sz w:val="20"/>
        </w:rPr>
      </w:pPr>
      <w:r w:rsidRPr="002E439A">
        <w:rPr>
          <w:rFonts w:ascii="Arial" w:hAnsi="Arial" w:cs="Arial"/>
          <w:color w:val="010000"/>
          <w:sz w:val="20"/>
        </w:rPr>
        <w:t>Total remuneration for the Board of Directors: VND51 million/month.</w:t>
      </w:r>
    </w:p>
    <w:p w:rsidR="00D4528A" w:rsidRPr="002E439A" w:rsidRDefault="001B1843" w:rsidP="00497148">
      <w:pPr>
        <w:pStyle w:val="BodyText"/>
        <w:numPr>
          <w:ilvl w:val="0"/>
          <w:numId w:val="1"/>
        </w:numPr>
        <w:tabs>
          <w:tab w:val="left" w:pos="710"/>
        </w:tabs>
        <w:spacing w:after="120" w:line="360" w:lineRule="auto"/>
        <w:ind w:firstLine="0"/>
        <w:jc w:val="both"/>
        <w:rPr>
          <w:rFonts w:ascii="Arial" w:hAnsi="Arial" w:cs="Arial"/>
          <w:color w:val="010000"/>
          <w:sz w:val="20"/>
        </w:rPr>
      </w:pPr>
      <w:r w:rsidRPr="002E439A">
        <w:rPr>
          <w:rFonts w:ascii="Arial" w:hAnsi="Arial" w:cs="Arial"/>
          <w:color w:val="010000"/>
          <w:sz w:val="20"/>
        </w:rPr>
        <w:t>Total remuneration for the Supervisory Board: VND19 million/month.</w:t>
      </w:r>
    </w:p>
    <w:p w:rsidR="00D4528A" w:rsidRPr="002E439A" w:rsidRDefault="001B1843" w:rsidP="00497148">
      <w:pPr>
        <w:pStyle w:val="BodyText"/>
        <w:numPr>
          <w:ilvl w:val="0"/>
          <w:numId w:val="2"/>
        </w:numPr>
        <w:tabs>
          <w:tab w:val="left" w:pos="757"/>
        </w:tabs>
        <w:spacing w:after="120" w:line="360" w:lineRule="auto"/>
        <w:ind w:firstLine="0"/>
        <w:jc w:val="both"/>
        <w:rPr>
          <w:rFonts w:ascii="Arial" w:hAnsi="Arial" w:cs="Arial"/>
          <w:color w:val="010000"/>
          <w:sz w:val="20"/>
        </w:rPr>
      </w:pPr>
      <w:r w:rsidRPr="002E439A">
        <w:rPr>
          <w:rFonts w:ascii="Arial" w:hAnsi="Arial" w:cs="Arial"/>
          <w:color w:val="010000"/>
          <w:sz w:val="20"/>
        </w:rPr>
        <w:t>In 2024:</w:t>
      </w:r>
    </w:p>
    <w:p w:rsidR="00D4528A" w:rsidRPr="002E439A" w:rsidRDefault="001B1843" w:rsidP="00497148">
      <w:pPr>
        <w:pStyle w:val="BodyText"/>
        <w:numPr>
          <w:ilvl w:val="0"/>
          <w:numId w:val="1"/>
        </w:numPr>
        <w:tabs>
          <w:tab w:val="left" w:pos="710"/>
        </w:tabs>
        <w:spacing w:after="120" w:line="360" w:lineRule="auto"/>
        <w:ind w:firstLine="0"/>
        <w:jc w:val="both"/>
        <w:rPr>
          <w:rFonts w:ascii="Arial" w:hAnsi="Arial" w:cs="Arial"/>
          <w:color w:val="010000"/>
          <w:sz w:val="20"/>
        </w:rPr>
      </w:pPr>
      <w:r w:rsidRPr="002E439A">
        <w:rPr>
          <w:rFonts w:ascii="Arial" w:hAnsi="Arial" w:cs="Arial"/>
          <w:color w:val="010000"/>
          <w:sz w:val="20"/>
        </w:rPr>
        <w:t>Total remuneration for the Board of Directors: VND51 million/month.</w:t>
      </w:r>
    </w:p>
    <w:p w:rsidR="00D4528A" w:rsidRPr="002E439A" w:rsidRDefault="001B1843" w:rsidP="00497148">
      <w:pPr>
        <w:pStyle w:val="BodyText"/>
        <w:numPr>
          <w:ilvl w:val="0"/>
          <w:numId w:val="1"/>
        </w:numPr>
        <w:tabs>
          <w:tab w:val="left" w:pos="710"/>
        </w:tabs>
        <w:spacing w:after="120" w:line="360" w:lineRule="auto"/>
        <w:ind w:firstLine="0"/>
        <w:jc w:val="both"/>
        <w:rPr>
          <w:rFonts w:ascii="Arial" w:hAnsi="Arial" w:cs="Arial"/>
          <w:color w:val="010000"/>
          <w:sz w:val="20"/>
        </w:rPr>
      </w:pPr>
      <w:r w:rsidRPr="002E439A">
        <w:rPr>
          <w:rFonts w:ascii="Arial" w:hAnsi="Arial" w:cs="Arial"/>
          <w:color w:val="010000"/>
          <w:sz w:val="20"/>
        </w:rPr>
        <w:t>Total remuneration for the Supervisory Board: VND19 million/month.</w:t>
      </w:r>
    </w:p>
    <w:p w:rsidR="00D4528A" w:rsidRPr="002E439A" w:rsidRDefault="001B1843" w:rsidP="00497148">
      <w:pPr>
        <w:pStyle w:val="BodyText"/>
        <w:numPr>
          <w:ilvl w:val="0"/>
          <w:numId w:val="1"/>
        </w:numPr>
        <w:tabs>
          <w:tab w:val="left" w:pos="710"/>
        </w:tabs>
        <w:spacing w:after="120" w:line="360" w:lineRule="auto"/>
        <w:ind w:firstLine="0"/>
        <w:jc w:val="both"/>
        <w:rPr>
          <w:rFonts w:ascii="Arial" w:hAnsi="Arial" w:cs="Arial"/>
          <w:color w:val="010000"/>
          <w:sz w:val="20"/>
        </w:rPr>
      </w:pPr>
      <w:r w:rsidRPr="002E439A">
        <w:rPr>
          <w:rFonts w:ascii="Arial" w:hAnsi="Arial" w:cs="Arial"/>
          <w:color w:val="010000"/>
          <w:sz w:val="20"/>
        </w:rPr>
        <w:t xml:space="preserve">Authorize the Board of Directors to decide on the remuneration for each member of the Board </w:t>
      </w:r>
      <w:r w:rsidRPr="002E439A">
        <w:rPr>
          <w:rFonts w:ascii="Arial" w:hAnsi="Arial" w:cs="Arial"/>
          <w:color w:val="010000"/>
          <w:sz w:val="20"/>
        </w:rPr>
        <w:lastRenderedPageBreak/>
        <w:t>of Directors and the Supervisory Board.</w:t>
      </w:r>
    </w:p>
    <w:p w:rsidR="00D4528A" w:rsidRPr="002E439A" w:rsidRDefault="001B1843" w:rsidP="00497148">
      <w:pPr>
        <w:pStyle w:val="BodyText"/>
        <w:spacing w:after="120" w:line="360" w:lineRule="auto"/>
        <w:ind w:firstLine="0"/>
        <w:jc w:val="both"/>
        <w:rPr>
          <w:rFonts w:ascii="Arial" w:hAnsi="Arial" w:cs="Arial"/>
          <w:color w:val="010000"/>
          <w:sz w:val="20"/>
        </w:rPr>
      </w:pPr>
      <w:proofErr w:type="gramStart"/>
      <w:r w:rsidRPr="002E439A">
        <w:rPr>
          <w:rFonts w:ascii="Arial" w:hAnsi="Arial" w:cs="Arial"/>
          <w:color w:val="010000"/>
          <w:sz w:val="20"/>
        </w:rPr>
        <w:t>‎‎Article 7.</w:t>
      </w:r>
      <w:proofErr w:type="gramEnd"/>
      <w:r w:rsidRPr="002E439A">
        <w:rPr>
          <w:rFonts w:ascii="Arial" w:hAnsi="Arial" w:cs="Arial"/>
          <w:color w:val="010000"/>
          <w:sz w:val="20"/>
        </w:rPr>
        <w:t xml:space="preserve"> Approve the Proposal on selecting an independent audit company to audit the Financial Statements 2024.</w:t>
      </w:r>
    </w:p>
    <w:p w:rsidR="00D4528A" w:rsidRPr="002E439A" w:rsidRDefault="001B1843" w:rsidP="00497148">
      <w:pPr>
        <w:pStyle w:val="BodyText"/>
        <w:spacing w:after="120" w:line="360" w:lineRule="auto"/>
        <w:ind w:firstLine="0"/>
        <w:jc w:val="both"/>
        <w:rPr>
          <w:rFonts w:ascii="Arial" w:hAnsi="Arial" w:cs="Arial"/>
          <w:color w:val="010000"/>
          <w:sz w:val="20"/>
        </w:rPr>
      </w:pPr>
      <w:r w:rsidRPr="002E439A">
        <w:rPr>
          <w:rFonts w:ascii="Arial" w:hAnsi="Arial" w:cs="Arial"/>
          <w:color w:val="010000"/>
          <w:sz w:val="20"/>
        </w:rPr>
        <w:t>Authorize the Board of Directors to be responsible for selecting one of the following audit companies mentioned in the proposal to audit the Financial Statements 2024.</w:t>
      </w:r>
    </w:p>
    <w:p w:rsidR="00D4528A" w:rsidRPr="002E439A" w:rsidRDefault="001B1843" w:rsidP="00497148">
      <w:pPr>
        <w:pStyle w:val="BodyText"/>
        <w:spacing w:after="120" w:line="360" w:lineRule="auto"/>
        <w:ind w:firstLine="0"/>
        <w:jc w:val="both"/>
        <w:rPr>
          <w:rFonts w:ascii="Arial" w:hAnsi="Arial" w:cs="Arial"/>
          <w:color w:val="010000"/>
          <w:sz w:val="20"/>
        </w:rPr>
      </w:pPr>
      <w:proofErr w:type="gramStart"/>
      <w:r w:rsidRPr="002E439A">
        <w:rPr>
          <w:rFonts w:ascii="Arial" w:hAnsi="Arial" w:cs="Arial"/>
          <w:color w:val="010000"/>
          <w:sz w:val="20"/>
        </w:rPr>
        <w:t>‎‎Article 8.</w:t>
      </w:r>
      <w:proofErr w:type="gramEnd"/>
      <w:r w:rsidRPr="002E439A">
        <w:rPr>
          <w:rFonts w:ascii="Arial" w:hAnsi="Arial" w:cs="Arial"/>
          <w:color w:val="010000"/>
          <w:sz w:val="20"/>
        </w:rPr>
        <w:t xml:space="preserve"> Assign the Board of Directors and the Manager of the Company to be responsible for successfully organizing and implementing the production and business tasks for 2024; the Supervisory Board to monitor and inspect the implementation of the General Mandate approved by the Annual General Meeting of Shareholders 2024. </w:t>
      </w:r>
    </w:p>
    <w:p w:rsidR="00D4528A" w:rsidRPr="002E439A" w:rsidRDefault="001B1843" w:rsidP="00497148">
      <w:pPr>
        <w:pStyle w:val="BodyText"/>
        <w:spacing w:after="120" w:line="360" w:lineRule="auto"/>
        <w:ind w:firstLine="0"/>
        <w:jc w:val="both"/>
        <w:rPr>
          <w:rFonts w:ascii="Arial" w:hAnsi="Arial" w:cs="Arial"/>
          <w:color w:val="010000"/>
          <w:sz w:val="20"/>
        </w:rPr>
      </w:pPr>
      <w:r w:rsidRPr="002E439A">
        <w:rPr>
          <w:rFonts w:ascii="Arial" w:hAnsi="Arial" w:cs="Arial"/>
          <w:color w:val="010000"/>
          <w:sz w:val="20"/>
        </w:rPr>
        <w:t xml:space="preserve">The Meeting calls on all shareholders and employees of the Company, under the leadership of the Board of Directors, to promote the spirit of solidarity, overcome all difficulties, </w:t>
      </w:r>
      <w:r w:rsidR="002E439A" w:rsidRPr="002E439A">
        <w:rPr>
          <w:rFonts w:ascii="Arial" w:hAnsi="Arial" w:cs="Arial"/>
          <w:color w:val="010000"/>
          <w:sz w:val="20"/>
        </w:rPr>
        <w:t xml:space="preserve">and </w:t>
      </w:r>
      <w:r w:rsidRPr="002E439A">
        <w:rPr>
          <w:rFonts w:ascii="Arial" w:hAnsi="Arial" w:cs="Arial"/>
          <w:color w:val="010000"/>
          <w:sz w:val="20"/>
        </w:rPr>
        <w:t>accomplish all targets and tasks set by the General Mandate.</w:t>
      </w:r>
    </w:p>
    <w:p w:rsidR="00D4528A" w:rsidRPr="002E439A" w:rsidRDefault="001B1843" w:rsidP="00497148">
      <w:pPr>
        <w:pStyle w:val="BodyText"/>
        <w:spacing w:after="120" w:line="360" w:lineRule="auto"/>
        <w:ind w:firstLine="0"/>
        <w:jc w:val="both"/>
        <w:rPr>
          <w:rFonts w:ascii="Arial" w:hAnsi="Arial" w:cs="Arial"/>
          <w:color w:val="010000"/>
          <w:sz w:val="20"/>
        </w:rPr>
      </w:pPr>
      <w:r w:rsidRPr="002E439A">
        <w:rPr>
          <w:rFonts w:ascii="Arial" w:hAnsi="Arial" w:cs="Arial"/>
          <w:color w:val="010000"/>
          <w:sz w:val="20"/>
        </w:rPr>
        <w:t>This General Mandate was approved by the Annual General Meeting of Shareholders 2024 of Trung Do Joint Stock Company.</w:t>
      </w:r>
    </w:p>
    <w:sectPr w:rsidR="00D4528A" w:rsidRPr="002E439A" w:rsidSect="00AE39F8">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65" w:rsidRDefault="00CF7065">
      <w:r>
        <w:separator/>
      </w:r>
    </w:p>
  </w:endnote>
  <w:endnote w:type="continuationSeparator" w:id="0">
    <w:p w:rsidR="00CF7065" w:rsidRDefault="00CF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65" w:rsidRDefault="00CF7065"/>
  </w:footnote>
  <w:footnote w:type="continuationSeparator" w:id="0">
    <w:p w:rsidR="00CF7065" w:rsidRDefault="00CF70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22065"/>
    <w:multiLevelType w:val="multilevel"/>
    <w:tmpl w:val="43E2BFD4"/>
    <w:lvl w:ilvl="0">
      <w:start w:val="1"/>
      <w:numFmt w:val="bullet"/>
      <w:lvlText w:val="❖"/>
      <w:lvlJc w:val="left"/>
      <w:rPr>
        <w:rFonts w:ascii="Arial" w:eastAsia="Times New Roman" w:hAnsi="Arial" w:cs="Arial"/>
        <w:b w:val="0"/>
        <w:bCs/>
        <w:i w:val="0"/>
        <w:iCs w:val="0"/>
        <w:smallCaps w:val="0"/>
        <w:strike w:val="0"/>
        <w:color w:val="4F5156"/>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28613D"/>
    <w:multiLevelType w:val="multilevel"/>
    <w:tmpl w:val="3398B7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CD54BB"/>
    <w:multiLevelType w:val="multilevel"/>
    <w:tmpl w:val="412A672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9B4013"/>
    <w:multiLevelType w:val="multilevel"/>
    <w:tmpl w:val="B360D7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8A"/>
    <w:rsid w:val="000F7900"/>
    <w:rsid w:val="00146394"/>
    <w:rsid w:val="001B1843"/>
    <w:rsid w:val="002E439A"/>
    <w:rsid w:val="0033422F"/>
    <w:rsid w:val="00497148"/>
    <w:rsid w:val="006102EB"/>
    <w:rsid w:val="007B09BC"/>
    <w:rsid w:val="00A924FB"/>
    <w:rsid w:val="00AE39F8"/>
    <w:rsid w:val="00CF7065"/>
    <w:rsid w:val="00D4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4F5156"/>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4F5156"/>
      <w:sz w:val="10"/>
      <w:szCs w:val="1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4F5156"/>
      <w:sz w:val="8"/>
      <w:szCs w:val="8"/>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ind w:left="3540"/>
      <w:outlineLvl w:val="0"/>
    </w:pPr>
    <w:rPr>
      <w:rFonts w:ascii="Times New Roman" w:eastAsia="Times New Roman" w:hAnsi="Times New Roman" w:cs="Times New Roman"/>
      <w:b/>
      <w:bCs/>
      <w:color w:val="4F5156"/>
      <w:sz w:val="30"/>
      <w:szCs w:val="30"/>
    </w:rPr>
  </w:style>
  <w:style w:type="paragraph" w:customStyle="1" w:styleId="Bodytext30">
    <w:name w:val="Body text (3)"/>
    <w:basedOn w:val="Normal"/>
    <w:link w:val="Bodytext3"/>
    <w:pPr>
      <w:ind w:firstLine="280"/>
    </w:pPr>
    <w:rPr>
      <w:rFonts w:ascii="Arial" w:eastAsia="Arial" w:hAnsi="Arial" w:cs="Arial"/>
      <w:b/>
      <w:bCs/>
      <w:color w:val="4F5156"/>
      <w:sz w:val="10"/>
      <w:szCs w:val="10"/>
    </w:rPr>
  </w:style>
  <w:style w:type="paragraph" w:customStyle="1" w:styleId="Bodytext20">
    <w:name w:val="Body text (2)"/>
    <w:basedOn w:val="Normal"/>
    <w:link w:val="Bodytext2"/>
    <w:pPr>
      <w:ind w:left="900" w:firstLine="350"/>
    </w:pPr>
    <w:rPr>
      <w:rFonts w:ascii="Arial" w:eastAsia="Arial" w:hAnsi="Arial" w:cs="Arial"/>
      <w:b/>
      <w:bCs/>
      <w:color w:val="4F5156"/>
      <w:sz w:val="8"/>
      <w:szCs w:val="8"/>
    </w:rPr>
  </w:style>
  <w:style w:type="paragraph" w:customStyle="1" w:styleId="Heading20">
    <w:name w:val="Heading #2"/>
    <w:basedOn w:val="Normal"/>
    <w:link w:val="Heading2"/>
    <w:pPr>
      <w:spacing w:line="298" w:lineRule="auto"/>
      <w:ind w:left="100" w:firstLine="740"/>
      <w:outlineLvl w:val="1"/>
    </w:pPr>
    <w:rPr>
      <w:rFonts w:ascii="Times New Roman" w:eastAsia="Times New Roman" w:hAnsi="Times New Roman" w:cs="Times New Roman"/>
      <w:b/>
      <w:bCs/>
      <w:sz w:val="26"/>
      <w:szCs w:val="26"/>
    </w:rPr>
  </w:style>
  <w:style w:type="paragraph" w:customStyle="1" w:styleId="Other0">
    <w:name w:val="Other"/>
    <w:basedOn w:val="Normal"/>
    <w:link w:val="Other"/>
    <w:pPr>
      <w:spacing w:line="300"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4F5156"/>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4F5156"/>
      <w:sz w:val="10"/>
      <w:szCs w:val="1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4F5156"/>
      <w:sz w:val="8"/>
      <w:szCs w:val="8"/>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ind w:left="3540"/>
      <w:outlineLvl w:val="0"/>
    </w:pPr>
    <w:rPr>
      <w:rFonts w:ascii="Times New Roman" w:eastAsia="Times New Roman" w:hAnsi="Times New Roman" w:cs="Times New Roman"/>
      <w:b/>
      <w:bCs/>
      <w:color w:val="4F5156"/>
      <w:sz w:val="30"/>
      <w:szCs w:val="30"/>
    </w:rPr>
  </w:style>
  <w:style w:type="paragraph" w:customStyle="1" w:styleId="Bodytext30">
    <w:name w:val="Body text (3)"/>
    <w:basedOn w:val="Normal"/>
    <w:link w:val="Bodytext3"/>
    <w:pPr>
      <w:ind w:firstLine="280"/>
    </w:pPr>
    <w:rPr>
      <w:rFonts w:ascii="Arial" w:eastAsia="Arial" w:hAnsi="Arial" w:cs="Arial"/>
      <w:b/>
      <w:bCs/>
      <w:color w:val="4F5156"/>
      <w:sz w:val="10"/>
      <w:szCs w:val="10"/>
    </w:rPr>
  </w:style>
  <w:style w:type="paragraph" w:customStyle="1" w:styleId="Bodytext20">
    <w:name w:val="Body text (2)"/>
    <w:basedOn w:val="Normal"/>
    <w:link w:val="Bodytext2"/>
    <w:pPr>
      <w:ind w:left="900" w:firstLine="350"/>
    </w:pPr>
    <w:rPr>
      <w:rFonts w:ascii="Arial" w:eastAsia="Arial" w:hAnsi="Arial" w:cs="Arial"/>
      <w:b/>
      <w:bCs/>
      <w:color w:val="4F5156"/>
      <w:sz w:val="8"/>
      <w:szCs w:val="8"/>
    </w:rPr>
  </w:style>
  <w:style w:type="paragraph" w:customStyle="1" w:styleId="Heading20">
    <w:name w:val="Heading #2"/>
    <w:basedOn w:val="Normal"/>
    <w:link w:val="Heading2"/>
    <w:pPr>
      <w:spacing w:line="298" w:lineRule="auto"/>
      <w:ind w:left="100" w:firstLine="740"/>
      <w:outlineLvl w:val="1"/>
    </w:pPr>
    <w:rPr>
      <w:rFonts w:ascii="Times New Roman" w:eastAsia="Times New Roman" w:hAnsi="Times New Roman" w:cs="Times New Roman"/>
      <w:b/>
      <w:bCs/>
      <w:sz w:val="26"/>
      <w:szCs w:val="26"/>
    </w:rPr>
  </w:style>
  <w:style w:type="paragraph" w:customStyle="1" w:styleId="Other0">
    <w:name w:val="Other"/>
    <w:basedOn w:val="Normal"/>
    <w:link w:val="Other"/>
    <w:pPr>
      <w:spacing w:line="300"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663</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2024-07-01T03:51:00Z</dcterms:created>
  <dcterms:modified xsi:type="dcterms:W3CDTF">2024-07-02T05:11:00Z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55ccfe80c186c7281fd0e3259461609699d0550c31c3fead4f012d5641daf664</vt:lpwstr>
  </property>
</Properties>
</file>