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7F817AA" w:rsidR="00C76189" w:rsidRDefault="007C2250" w:rsidP="00FE759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 xml:space="preserve">TGG: Disclose information on the 1st General Meeting of Shareholders </w:t>
      </w:r>
      <w:r w:rsidR="00EF2339">
        <w:rPr>
          <w:rFonts w:ascii="Arial" w:hAnsi="Arial"/>
          <w:b/>
          <w:color w:val="010000"/>
          <w:sz w:val="20"/>
        </w:rPr>
        <w:t xml:space="preserve">that </w:t>
      </w:r>
      <w:r w:rsidR="006F5457">
        <w:rPr>
          <w:rFonts w:ascii="Arial" w:hAnsi="Arial"/>
          <w:b/>
          <w:color w:val="010000"/>
          <w:sz w:val="20"/>
        </w:rPr>
        <w:t xml:space="preserve">is </w:t>
      </w:r>
      <w:r>
        <w:rPr>
          <w:rFonts w:ascii="Arial" w:hAnsi="Arial"/>
          <w:b/>
          <w:color w:val="010000"/>
          <w:sz w:val="20"/>
        </w:rPr>
        <w:t>not eligible to be conducted</w:t>
      </w:r>
    </w:p>
    <w:p w14:paraId="00000002" w14:textId="77777777" w:rsidR="00C76189" w:rsidRDefault="007C2250" w:rsidP="00FE75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June 28, 2024, The Golden Group Joint Stock Company an</w:t>
      </w:r>
      <w:bookmarkStart w:id="0" w:name="_GoBack"/>
      <w:bookmarkEnd w:id="0"/>
      <w:r>
        <w:rPr>
          <w:rFonts w:ascii="Arial" w:hAnsi="Arial"/>
          <w:color w:val="010000"/>
          <w:sz w:val="20"/>
        </w:rPr>
        <w:t>nounced Official Dispatch No. 47/2024/TGG/CBTT as follows:</w:t>
      </w:r>
    </w:p>
    <w:p w14:paraId="00000004" w14:textId="77777777" w:rsidR="00C76189" w:rsidRDefault="007C2250" w:rsidP="00FE759F">
      <w:pPr>
        <w:numPr>
          <w:ilvl w:val="0"/>
          <w:numId w:val="1"/>
        </w:numPr>
        <w:pBdr>
          <w:top w:val="nil"/>
          <w:left w:val="nil"/>
          <w:bottom w:val="nil"/>
          <w:right w:val="nil"/>
          <w:between w:val="nil"/>
        </w:pBdr>
        <w:tabs>
          <w:tab w:val="left" w:pos="428"/>
        </w:tabs>
        <w:spacing w:after="120" w:line="360" w:lineRule="auto"/>
        <w:jc w:val="both"/>
        <w:rPr>
          <w:rFonts w:ascii="Arial" w:eastAsia="Arial" w:hAnsi="Arial" w:cs="Arial"/>
          <w:color w:val="010000"/>
          <w:sz w:val="20"/>
          <w:szCs w:val="20"/>
        </w:rPr>
      </w:pPr>
      <w:r>
        <w:rPr>
          <w:rFonts w:ascii="Arial" w:hAnsi="Arial"/>
          <w:color w:val="010000"/>
          <w:sz w:val="20"/>
        </w:rPr>
        <w:t>The Annual General Meeting of Shareholders was not eligible to be conducted according to regulations in Clause 1, Article 145 of the Law on Enterprises 2020 and Clause 1, Article 18 of the Company’s Charter, due to the number of shareholders attending the meeting not over 50% of the total number of shares with voting rights of the Company according to the list of eligible shareholders to attend the Annual General Meeting of Shareholders 2024 prepared by Vietnam Securities Depository and Clearing Corporation on May 31, 2024.</w:t>
      </w:r>
    </w:p>
    <w:p w14:paraId="00000005" w14:textId="5B289C7B" w:rsidR="00C76189" w:rsidRDefault="007C2250" w:rsidP="00FE759F">
      <w:pPr>
        <w:numPr>
          <w:ilvl w:val="0"/>
          <w:numId w:val="1"/>
        </w:numPr>
        <w:pBdr>
          <w:top w:val="nil"/>
          <w:left w:val="nil"/>
          <w:bottom w:val="nil"/>
          <w:right w:val="nil"/>
          <w:between w:val="nil"/>
        </w:pBdr>
        <w:tabs>
          <w:tab w:val="left" w:pos="428"/>
        </w:tabs>
        <w:spacing w:after="120" w:line="360" w:lineRule="auto"/>
        <w:jc w:val="both"/>
        <w:rPr>
          <w:rFonts w:ascii="Arial" w:eastAsia="Arial" w:hAnsi="Arial" w:cs="Arial"/>
          <w:color w:val="010000"/>
          <w:sz w:val="20"/>
          <w:szCs w:val="20"/>
        </w:rPr>
      </w:pPr>
      <w:r>
        <w:rPr>
          <w:rFonts w:ascii="Arial" w:hAnsi="Arial"/>
          <w:color w:val="010000"/>
          <w:sz w:val="20"/>
        </w:rPr>
        <w:t xml:space="preserve">The Company will organize the 2nd Annual General Meeting of Shareholders on July 19, 2024. Other contents in the </w:t>
      </w:r>
      <w:r w:rsidR="009536CC">
        <w:rPr>
          <w:rFonts w:ascii="Arial" w:hAnsi="Arial"/>
          <w:color w:val="010000"/>
          <w:sz w:val="20"/>
        </w:rPr>
        <w:t>I</w:t>
      </w:r>
      <w:r>
        <w:rPr>
          <w:rFonts w:ascii="Arial" w:hAnsi="Arial"/>
          <w:color w:val="010000"/>
          <w:sz w:val="20"/>
        </w:rPr>
        <w:t>nvitation Notice announced on June 7, 2024 remain unchanged.</w:t>
      </w:r>
    </w:p>
    <w:sectPr w:rsidR="00C7618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F7ACC"/>
    <w:multiLevelType w:val="multilevel"/>
    <w:tmpl w:val="7804D414"/>
    <w:lvl w:ilvl="0">
      <w:start w:val="1"/>
      <w:numFmt w:val="bullet"/>
      <w:lvlText w:val="-"/>
      <w:lvlJc w:val="left"/>
      <w:pPr>
        <w:ind w:left="0" w:firstLine="0"/>
      </w:pPr>
      <w:rPr>
        <w:rFonts w:ascii="Arial" w:eastAsia="Arial" w:hAnsi="Arial" w:cs="Arial"/>
        <w:b w:val="0"/>
        <w:i w:val="0"/>
        <w:smallCaps w:val="0"/>
        <w:strike w:val="0"/>
        <w:color w:val="1B1E1D"/>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89"/>
    <w:rsid w:val="00177D2F"/>
    <w:rsid w:val="006F5457"/>
    <w:rsid w:val="007C2250"/>
    <w:rsid w:val="009536CC"/>
    <w:rsid w:val="00C76189"/>
    <w:rsid w:val="00EF2339"/>
    <w:rsid w:val="00FE7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B1E1D"/>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1B1E1D"/>
      <w:sz w:val="19"/>
      <w:szCs w:val="19"/>
      <w:u w:val="singl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4"/>
      <w:szCs w:val="3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paragraph" w:customStyle="1" w:styleId="Vnbnnidung0">
    <w:name w:val="Văn bản nội dung"/>
    <w:basedOn w:val="Normal"/>
    <w:link w:val="Vnbnnidung"/>
    <w:pPr>
      <w:spacing w:line="396" w:lineRule="auto"/>
    </w:pPr>
    <w:rPr>
      <w:rFonts w:ascii="Times New Roman" w:eastAsia="Times New Roman" w:hAnsi="Times New Roman" w:cs="Times New Roman"/>
      <w:color w:val="1B1E1D"/>
      <w:sz w:val="22"/>
      <w:szCs w:val="22"/>
    </w:rPr>
  </w:style>
  <w:style w:type="paragraph" w:customStyle="1" w:styleId="Vnbnnidung30">
    <w:name w:val="Văn bản nội dung (3)"/>
    <w:basedOn w:val="Normal"/>
    <w:link w:val="Vnbnnidung3"/>
    <w:pPr>
      <w:jc w:val="right"/>
    </w:pPr>
    <w:rPr>
      <w:rFonts w:ascii="Times New Roman" w:eastAsia="Times New Roman" w:hAnsi="Times New Roman" w:cs="Times New Roman"/>
      <w:color w:val="1B1E1D"/>
      <w:sz w:val="19"/>
      <w:szCs w:val="19"/>
      <w:u w:val="single"/>
    </w:rPr>
  </w:style>
  <w:style w:type="paragraph" w:customStyle="1" w:styleId="Vnbnnidung40">
    <w:name w:val="Văn bản nội dung (4)"/>
    <w:basedOn w:val="Normal"/>
    <w:link w:val="Vnbnnidung4"/>
    <w:pPr>
      <w:jc w:val="right"/>
    </w:pPr>
    <w:rPr>
      <w:rFonts w:ascii="Arial" w:eastAsia="Arial" w:hAnsi="Arial" w:cs="Arial"/>
      <w:sz w:val="34"/>
      <w:szCs w:val="34"/>
    </w:rPr>
  </w:style>
  <w:style w:type="paragraph" w:customStyle="1" w:styleId="Vnbnnidung20">
    <w:name w:val="Văn bản nội dung (2)"/>
    <w:basedOn w:val="Normal"/>
    <w:link w:val="Vnbnnidung2"/>
    <w:rPr>
      <w:rFonts w:ascii="Arial" w:eastAsia="Arial" w:hAnsi="Arial" w:cs="Arial"/>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B1E1D"/>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1B1E1D"/>
      <w:sz w:val="19"/>
      <w:szCs w:val="19"/>
      <w:u w:val="singl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4"/>
      <w:szCs w:val="3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paragraph" w:customStyle="1" w:styleId="Vnbnnidung0">
    <w:name w:val="Văn bản nội dung"/>
    <w:basedOn w:val="Normal"/>
    <w:link w:val="Vnbnnidung"/>
    <w:pPr>
      <w:spacing w:line="396" w:lineRule="auto"/>
    </w:pPr>
    <w:rPr>
      <w:rFonts w:ascii="Times New Roman" w:eastAsia="Times New Roman" w:hAnsi="Times New Roman" w:cs="Times New Roman"/>
      <w:color w:val="1B1E1D"/>
      <w:sz w:val="22"/>
      <w:szCs w:val="22"/>
    </w:rPr>
  </w:style>
  <w:style w:type="paragraph" w:customStyle="1" w:styleId="Vnbnnidung30">
    <w:name w:val="Văn bản nội dung (3)"/>
    <w:basedOn w:val="Normal"/>
    <w:link w:val="Vnbnnidung3"/>
    <w:pPr>
      <w:jc w:val="right"/>
    </w:pPr>
    <w:rPr>
      <w:rFonts w:ascii="Times New Roman" w:eastAsia="Times New Roman" w:hAnsi="Times New Roman" w:cs="Times New Roman"/>
      <w:color w:val="1B1E1D"/>
      <w:sz w:val="19"/>
      <w:szCs w:val="19"/>
      <w:u w:val="single"/>
    </w:rPr>
  </w:style>
  <w:style w:type="paragraph" w:customStyle="1" w:styleId="Vnbnnidung40">
    <w:name w:val="Văn bản nội dung (4)"/>
    <w:basedOn w:val="Normal"/>
    <w:link w:val="Vnbnnidung4"/>
    <w:pPr>
      <w:jc w:val="right"/>
    </w:pPr>
    <w:rPr>
      <w:rFonts w:ascii="Arial" w:eastAsia="Arial" w:hAnsi="Arial" w:cs="Arial"/>
      <w:sz w:val="34"/>
      <w:szCs w:val="34"/>
    </w:rPr>
  </w:style>
  <w:style w:type="paragraph" w:customStyle="1" w:styleId="Vnbnnidung20">
    <w:name w:val="Văn bản nội dung (2)"/>
    <w:basedOn w:val="Normal"/>
    <w:link w:val="Vnbnnidung2"/>
    <w:rPr>
      <w:rFonts w:ascii="Arial" w:eastAsia="Arial" w:hAnsi="Arial" w:cs="Arial"/>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f4Pbzn+rpp9Otd1rAJnK+smfLg==">CgMxLjA4AHIhMWdCazFfbEZnMnNjQWFJRU1zSDhoX1BMME5EQ1hsNjVj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2024-07-01T03:21:00Z</dcterms:created>
  <dcterms:modified xsi:type="dcterms:W3CDTF">2024-07-02T06:32:00Z</dcterms:modified>
</cp:coreProperties>
</file>