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B0" w:rsidRDefault="00C5668F" w:rsidP="001E19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276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TMW: Board Resolution</w:t>
      </w:r>
    </w:p>
    <w:p w:rsidR="00EB4EB0" w:rsidRDefault="00C5668F" w:rsidP="00C566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27, 2024, Tan Mai General Woo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d JSC announced Resolution No. 03/2024 NQ.HDQT as follows: </w:t>
      </w:r>
    </w:p>
    <w:p w:rsidR="00EB4EB0" w:rsidRDefault="00C5668F" w:rsidP="00C566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1.</w:t>
      </w:r>
      <w:proofErr w:type="gramEnd"/>
      <w:r>
        <w:rPr>
          <w:rFonts w:ascii="Arial" w:hAnsi="Arial"/>
          <w:color w:val="010000"/>
          <w:sz w:val="20"/>
        </w:rPr>
        <w:t xml:space="preserve"> Approve the Report on the production and business activities of the first 5 months of 2024. </w:t>
      </w:r>
      <w:r>
        <w:rPr>
          <w:rFonts w:ascii="Arial" w:hAnsi="Arial"/>
          <w:color w:val="010000"/>
          <w:sz w:val="20"/>
        </w:rPr>
        <w:t>Estimated results in the first 6 months of 2024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1961"/>
        <w:gridCol w:w="784"/>
        <w:gridCol w:w="1336"/>
        <w:gridCol w:w="1271"/>
        <w:gridCol w:w="1437"/>
        <w:gridCol w:w="1473"/>
      </w:tblGrid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the first 5 months of 2024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Estimated results in the first 6 months of 2024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% (Estimated results/Plan)</w:t>
            </w:r>
          </w:p>
        </w:tc>
      </w:tr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63,700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19,441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30,708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48.21%</w:t>
            </w:r>
          </w:p>
        </w:tc>
      </w:tr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EB4EB0" w:rsidP="001E1996">
            <w:pP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 Plywood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16,000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11,118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14,618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91.36%</w:t>
            </w:r>
          </w:p>
        </w:tc>
      </w:tr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EB4EB0" w:rsidP="001E1996">
            <w:pP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-Factories and warehouses rental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12,700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8,323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10,023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78.92%</w:t>
            </w:r>
          </w:p>
        </w:tc>
      </w:tr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EB4EB0" w:rsidP="001E1996">
            <w:pP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-Agricultural products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35,000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6,067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17.33%</w:t>
            </w:r>
          </w:p>
        </w:tc>
      </w:tr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6,349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7,549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100.65%</w:t>
            </w:r>
          </w:p>
        </w:tc>
      </w:tr>
      <w:tr w:rsidR="00EB4EB0">
        <w:tc>
          <w:tcPr>
            <w:tcW w:w="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 to the State budget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1,564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1,864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B4EB0" w:rsidRDefault="00C5668F" w:rsidP="001E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276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62.13%</w:t>
            </w:r>
          </w:p>
        </w:tc>
      </w:tr>
    </w:tbl>
    <w:p w:rsidR="00EB4EB0" w:rsidRDefault="00C5668F" w:rsidP="001E19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2.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recording of the list of shareholders’ opinions via a ballot of Tan Mai General Wood JSC:</w:t>
      </w:r>
    </w:p>
    <w:p w:rsidR="00EB4EB0" w:rsidRDefault="00C5668F" w:rsidP="001E1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shareholders: Expected on July 29, 2024</w:t>
      </w:r>
    </w:p>
    <w:p w:rsidR="00EB4EB0" w:rsidRDefault="00C5668F" w:rsidP="001E1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of collecting opinions via a ballot: Expected in August 2024</w:t>
      </w:r>
    </w:p>
    <w:p w:rsidR="00EB4EB0" w:rsidRDefault="00C5668F" w:rsidP="001E1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Contents for the collection of shareholders’ opinions via a ballot:</w:t>
      </w:r>
    </w:p>
    <w:p w:rsidR="00EB4EB0" w:rsidRDefault="00C5668F" w:rsidP="001E19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Issues under the authorities of the General Meeting of Shareholders in the form of voting by collecting shareholders' opin</w:t>
      </w:r>
      <w:r>
        <w:rPr>
          <w:rFonts w:ascii="Arial" w:hAnsi="Arial"/>
          <w:color w:val="010000"/>
          <w:sz w:val="20"/>
        </w:rPr>
        <w:t>ions via a ballot pursuant to the provisions of law and the Charter of Tan Mai General Wood JSC</w:t>
      </w:r>
    </w:p>
    <w:p w:rsidR="00EB4EB0" w:rsidRDefault="00C5668F" w:rsidP="001E19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3.</w:t>
      </w:r>
      <w:proofErr w:type="gramEnd"/>
      <w:r>
        <w:rPr>
          <w:rFonts w:ascii="Arial" w:hAnsi="Arial"/>
          <w:color w:val="010000"/>
          <w:sz w:val="20"/>
        </w:rPr>
        <w:t xml:space="preserve"> The Board of Directors authorizes the Executive Board</w:t>
      </w:r>
    </w:p>
    <w:p w:rsidR="00EB4EB0" w:rsidRDefault="00C5668F" w:rsidP="001E19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Authorize the Company's Executive Board to implement the contents approved by the Board of Di</w:t>
      </w:r>
      <w:r>
        <w:rPr>
          <w:rFonts w:ascii="Arial" w:hAnsi="Arial"/>
          <w:color w:val="010000"/>
          <w:sz w:val="20"/>
        </w:rPr>
        <w:t>rectors, ensuring compliance with the provisions of law.</w:t>
      </w:r>
    </w:p>
    <w:p w:rsidR="00EB4EB0" w:rsidRDefault="00C5668F" w:rsidP="001E19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4.</w:t>
      </w:r>
      <w:proofErr w:type="gramEnd"/>
      <w:r>
        <w:rPr>
          <w:rFonts w:ascii="Arial" w:hAnsi="Arial"/>
          <w:color w:val="010000"/>
          <w:sz w:val="20"/>
        </w:rPr>
        <w:t xml:space="preserve"> This Resolution takes effect from the date of its signing. The Board of Directors, the Board of Managers of the Company and affiliated individuals are responsible for the implementation </w:t>
      </w:r>
      <w:r>
        <w:rPr>
          <w:rFonts w:ascii="Arial" w:hAnsi="Arial"/>
          <w:color w:val="010000"/>
          <w:sz w:val="20"/>
        </w:rPr>
        <w:t>of this Resolution.</w:t>
      </w:r>
    </w:p>
    <w:sectPr w:rsidR="00EB4EB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E88"/>
    <w:multiLevelType w:val="multilevel"/>
    <w:tmpl w:val="105A93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EB0"/>
    <w:rsid w:val="001E1996"/>
    <w:rsid w:val="00C5668F"/>
    <w:rsid w:val="00C6520C"/>
    <w:rsid w:val="00E7042F"/>
    <w:rsid w:val="00E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626B"/>
      <w:sz w:val="30"/>
      <w:szCs w:val="30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E3626B"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626B"/>
      <w:sz w:val="30"/>
      <w:szCs w:val="30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E3626B"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H7wIQeNSB2Zmuv1OkAGkyoexg==">CgMxLjA4AHIhMVhRaFRPMV9JVUdXcnVPakNnVGY5S042cXRlRjVNeWlX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5</cp:revision>
  <dcterms:created xsi:type="dcterms:W3CDTF">2024-07-02T04:11:00Z</dcterms:created>
  <dcterms:modified xsi:type="dcterms:W3CDTF">2024-07-03T08:22:00Z</dcterms:modified>
</cp:coreProperties>
</file>