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C70BE" w:rsidRDefault="00D36E77" w:rsidP="00864DAC">
      <w:pPr>
        <w:pBdr>
          <w:top w:val="nil"/>
          <w:left w:val="nil"/>
          <w:bottom w:val="nil"/>
          <w:right w:val="nil"/>
          <w:between w:val="nil"/>
        </w:pBdr>
        <w:tabs>
          <w:tab w:val="left" w:pos="432"/>
          <w:tab w:val="left" w:pos="3125"/>
        </w:tabs>
        <w:spacing w:after="120" w:line="360" w:lineRule="auto"/>
        <w:jc w:val="both"/>
        <w:rPr>
          <w:rFonts w:ascii="Arial" w:eastAsia="Arial" w:hAnsi="Arial" w:cs="Arial"/>
          <w:b/>
          <w:color w:val="010000"/>
          <w:sz w:val="20"/>
          <w:szCs w:val="20"/>
        </w:rPr>
      </w:pPr>
      <w:r>
        <w:rPr>
          <w:rFonts w:ascii="Arial" w:hAnsi="Arial"/>
          <w:b/>
          <w:color w:val="010000"/>
          <w:sz w:val="20"/>
        </w:rPr>
        <w:t>TRS: Board Resolution</w:t>
      </w:r>
    </w:p>
    <w:p w14:paraId="00000002" w14:textId="77777777" w:rsidR="000C70BE" w:rsidRDefault="00D36E77" w:rsidP="00864DAC">
      <w:pPr>
        <w:pBdr>
          <w:top w:val="nil"/>
          <w:left w:val="nil"/>
          <w:bottom w:val="nil"/>
          <w:right w:val="nil"/>
          <w:between w:val="nil"/>
        </w:pBdr>
        <w:tabs>
          <w:tab w:val="left" w:pos="432"/>
          <w:tab w:val="left" w:pos="3125"/>
        </w:tabs>
        <w:spacing w:after="120" w:line="360" w:lineRule="auto"/>
        <w:jc w:val="both"/>
        <w:rPr>
          <w:rFonts w:ascii="Arial" w:eastAsia="Arial" w:hAnsi="Arial" w:cs="Arial"/>
          <w:color w:val="010000"/>
          <w:sz w:val="20"/>
          <w:szCs w:val="20"/>
        </w:rPr>
      </w:pPr>
      <w:r>
        <w:rPr>
          <w:rFonts w:ascii="Arial" w:hAnsi="Arial"/>
          <w:color w:val="010000"/>
          <w:sz w:val="20"/>
        </w:rPr>
        <w:t xml:space="preserve">On June 28, 2024, </w:t>
      </w:r>
      <w:proofErr w:type="spellStart"/>
      <w:r>
        <w:rPr>
          <w:rFonts w:ascii="Arial" w:hAnsi="Arial"/>
          <w:color w:val="010000"/>
          <w:sz w:val="20"/>
        </w:rPr>
        <w:t>Tracimexco</w:t>
      </w:r>
      <w:proofErr w:type="spellEnd"/>
      <w:r>
        <w:rPr>
          <w:rFonts w:ascii="Arial" w:hAnsi="Arial"/>
          <w:color w:val="010000"/>
          <w:sz w:val="20"/>
        </w:rPr>
        <w:t xml:space="preserve"> - Supply Chains and Agency Services JSC announced Resolution No. 05.2024/NQ-HDQT on implementing the plan on sha</w:t>
      </w:r>
      <w:bookmarkStart w:id="0" w:name="_GoBack"/>
      <w:bookmarkEnd w:id="0"/>
      <w:r>
        <w:rPr>
          <w:rFonts w:ascii="Arial" w:hAnsi="Arial"/>
          <w:color w:val="010000"/>
          <w:sz w:val="20"/>
        </w:rPr>
        <w:t xml:space="preserve">re issuance for dividend payment 2023 as follows: </w:t>
      </w:r>
    </w:p>
    <w:p w14:paraId="00000003" w14:textId="77777777" w:rsidR="000C70BE" w:rsidRDefault="00D36E77" w:rsidP="00864DA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implementation of the plan on share issuance for dividend payment approved by the General Meeting of Shareholders on May 31, 2024, specifically as follows:</w:t>
      </w:r>
    </w:p>
    <w:p w14:paraId="00000004"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 xml:space="preserve">Share name: Shares of </w:t>
      </w:r>
      <w:proofErr w:type="spellStart"/>
      <w:r>
        <w:rPr>
          <w:rFonts w:ascii="Arial" w:hAnsi="Arial"/>
          <w:color w:val="010000"/>
          <w:sz w:val="20"/>
        </w:rPr>
        <w:t>Tracimexco</w:t>
      </w:r>
      <w:proofErr w:type="spellEnd"/>
      <w:r>
        <w:rPr>
          <w:rFonts w:ascii="Arial" w:hAnsi="Arial"/>
          <w:color w:val="010000"/>
          <w:sz w:val="20"/>
        </w:rPr>
        <w:t xml:space="preserve"> - Supply Chains and Agency Services JSC</w:t>
      </w:r>
    </w:p>
    <w:p w14:paraId="00000005"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Share type: Common shares.</w:t>
      </w:r>
    </w:p>
    <w:p w14:paraId="00000006"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Share par value: VND10,000/share.</w:t>
      </w:r>
    </w:p>
    <w:p w14:paraId="00000007"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Number of shares expected to be issued 1,088,704 shares.</w:t>
      </w:r>
    </w:p>
    <w:p w14:paraId="00000008"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Total issuance value at par value: VND10,887,040,000.</w:t>
      </w:r>
    </w:p>
    <w:p w14:paraId="00000009"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Issuance rate (number of shares expected to be issued/ number of outstanding shares): 20%.</w:t>
      </w:r>
    </w:p>
    <w:p w14:paraId="0000000A" w14:textId="1F22B0BA"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Right exercise rate: 100:20, on the record date for shareholder to exercise rights, shareholders owning 100 shares will receive 20 new shares.</w:t>
      </w:r>
    </w:p>
    <w:p w14:paraId="0000000B"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Capital source for the issuance: From undistributed profit after tax as at December 31, 2023 according to the Audited Financial Statement 2023 of the Company.</w:t>
      </w:r>
    </w:p>
    <w:p w14:paraId="0000000C" w14:textId="77777777" w:rsidR="000C70BE" w:rsidRDefault="00D36E77" w:rsidP="00864DAC">
      <w:pPr>
        <w:numPr>
          <w:ilvl w:val="0"/>
          <w:numId w:val="1"/>
        </w:numPr>
        <w:pBdr>
          <w:top w:val="nil"/>
          <w:left w:val="nil"/>
          <w:bottom w:val="nil"/>
          <w:right w:val="nil"/>
          <w:between w:val="nil"/>
        </w:pBdr>
        <w:tabs>
          <w:tab w:val="left" w:pos="432"/>
          <w:tab w:val="left" w:pos="753"/>
        </w:tabs>
        <w:spacing w:after="120" w:line="360" w:lineRule="auto"/>
        <w:jc w:val="both"/>
        <w:rPr>
          <w:rFonts w:ascii="Arial" w:eastAsia="Arial" w:hAnsi="Arial" w:cs="Arial"/>
          <w:color w:val="010000"/>
          <w:sz w:val="20"/>
          <w:szCs w:val="20"/>
        </w:rPr>
      </w:pPr>
      <w:r>
        <w:rPr>
          <w:rFonts w:ascii="Arial" w:hAnsi="Arial"/>
          <w:color w:val="010000"/>
          <w:sz w:val="20"/>
        </w:rPr>
        <w:t>Expected issue date: Q3-Q4/2024. after being notified by the State Securities Commission of receiving full issuance report documents.</w:t>
      </w:r>
    </w:p>
    <w:p w14:paraId="0000000D" w14:textId="77777777" w:rsidR="000C70BE" w:rsidRDefault="00D36E77" w:rsidP="00864DAC">
      <w:pPr>
        <w:numPr>
          <w:ilvl w:val="0"/>
          <w:numId w:val="1"/>
        </w:numPr>
        <w:pBdr>
          <w:top w:val="nil"/>
          <w:left w:val="nil"/>
          <w:bottom w:val="nil"/>
          <w:right w:val="nil"/>
          <w:between w:val="nil"/>
        </w:pBdr>
        <w:tabs>
          <w:tab w:val="left" w:pos="432"/>
          <w:tab w:val="left" w:pos="786"/>
        </w:tabs>
        <w:spacing w:after="120" w:line="360" w:lineRule="auto"/>
        <w:jc w:val="both"/>
        <w:rPr>
          <w:rFonts w:ascii="Arial" w:eastAsia="Arial" w:hAnsi="Arial" w:cs="Arial"/>
          <w:color w:val="010000"/>
          <w:sz w:val="20"/>
          <w:szCs w:val="20"/>
        </w:rPr>
      </w:pPr>
      <w:r>
        <w:rPr>
          <w:rFonts w:ascii="Arial" w:hAnsi="Arial"/>
          <w:color w:val="010000"/>
          <w:sz w:val="20"/>
        </w:rPr>
        <w:t>Plan on handling fractional shares and fraction of shares: Issued shares to pay dividend for existing shareholders will be rounded down with the fractional parts removed.</w:t>
      </w:r>
    </w:p>
    <w:p w14:paraId="0000000E"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For example: Shareholder A owns 201 shares at the record date for the list of shareholders. With the exercise rate of 100:20, Shareholder will receive 40.2 new shares. According to the above calculation principle, the amount of 0.2 fractional shares will be canceled. Thus, shareholder A will receive 40 new shares.</w:t>
      </w:r>
    </w:p>
    <w:p w14:paraId="0000000F" w14:textId="77777777" w:rsidR="000C70BE" w:rsidRDefault="00D36E77" w:rsidP="00864DA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The Board of Directors authorized and assigned Mr. Nguyen Van </w:t>
      </w:r>
      <w:proofErr w:type="spellStart"/>
      <w:r>
        <w:rPr>
          <w:rFonts w:ascii="Arial" w:hAnsi="Arial"/>
          <w:color w:val="010000"/>
          <w:sz w:val="20"/>
        </w:rPr>
        <w:t>Quy</w:t>
      </w:r>
      <w:proofErr w:type="spellEnd"/>
      <w:r>
        <w:rPr>
          <w:rFonts w:ascii="Arial" w:hAnsi="Arial"/>
          <w:color w:val="010000"/>
          <w:sz w:val="20"/>
        </w:rPr>
        <w:t xml:space="preserve"> - the General Manager to implement the contents related to the share issuance for dividend payment, as follows:</w:t>
      </w:r>
    </w:p>
    <w:p w14:paraId="00000010"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Decide on the issuance time and select the record date for the list of shareholders entitled to receive dividends by shares;</w:t>
      </w:r>
    </w:p>
    <w:p w14:paraId="00000011"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edit and supplement documents related to the registration of share issuance for dividend payment as required by the State Securities Commission (if any);</w:t>
      </w:r>
    </w:p>
    <w:p w14:paraId="00000012"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Organize the implementation of necessary procedures related to completing the issuance, additional registration at the Vietnam Securities Depository and Clearing Corporation and additional trading registration at the Hanoi Stock Exchange for the number of additional issued shares for dividend payment;</w:t>
      </w:r>
    </w:p>
    <w:p w14:paraId="00000013"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Complete the necessary procedures to increase charter capital, make amendments and supplements to the Company’s Charter based on the results of the issuance;</w:t>
      </w:r>
    </w:p>
    <w:p w14:paraId="00000014"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Other necessary work related to the share issuance for dividend payment. </w:t>
      </w:r>
    </w:p>
    <w:p w14:paraId="00000015"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Members of the Board of Directors, the Board of Management, related departments/units and individuals of the Company are responsible for the implementation of this Resolution. </w:t>
      </w:r>
    </w:p>
    <w:p w14:paraId="00000016" w14:textId="77777777" w:rsidR="000C70BE" w:rsidRDefault="00D36E77" w:rsidP="00864D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its signing.</w:t>
      </w:r>
    </w:p>
    <w:sectPr w:rsidR="000C70B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DBC"/>
    <w:multiLevelType w:val="multilevel"/>
    <w:tmpl w:val="1DEAE1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BE"/>
    <w:rsid w:val="000C70BE"/>
    <w:rsid w:val="00864DAC"/>
    <w:rsid w:val="00D3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50">
    <w:name w:val="Body text (5)"/>
    <w:basedOn w:val="Normal"/>
    <w:link w:val="Bodytext5"/>
    <w:pPr>
      <w:jc w:val="center"/>
    </w:pPr>
    <w:rPr>
      <w:rFonts w:ascii="Arial" w:eastAsia="Arial" w:hAnsi="Arial" w:cs="Arial"/>
      <w:sz w:val="28"/>
      <w:szCs w:val="28"/>
    </w:rPr>
  </w:style>
  <w:style w:type="paragraph" w:customStyle="1" w:styleId="Bodytext20">
    <w:name w:val="Body text (2)"/>
    <w:basedOn w:val="Normal"/>
    <w:link w:val="Bodytext2"/>
    <w:pPr>
      <w:spacing w:line="197" w:lineRule="auto"/>
    </w:pPr>
    <w:rPr>
      <w:rFonts w:ascii="Arial" w:eastAsia="Arial" w:hAnsi="Arial" w:cs="Arial"/>
      <w:sz w:val="8"/>
      <w:szCs w:val="8"/>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spacing w:line="233" w:lineRule="auto"/>
    </w:pPr>
    <w:rPr>
      <w:rFonts w:ascii="Arial" w:eastAsia="Arial" w:hAnsi="Arial" w:cs="Arial"/>
      <w:sz w:val="8"/>
      <w:szCs w:val="8"/>
    </w:rPr>
  </w:style>
  <w:style w:type="paragraph" w:customStyle="1" w:styleId="Bodytext30">
    <w:name w:val="Body text (3)"/>
    <w:basedOn w:val="Normal"/>
    <w:link w:val="Bodytext3"/>
    <w:pPr>
      <w:ind w:left="3280"/>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35" w:lineRule="auto"/>
      <w:ind w:firstLine="370"/>
    </w:pPr>
    <w:rPr>
      <w:rFonts w:ascii="Arial" w:eastAsia="Arial" w:hAnsi="Arial" w:cs="Arial"/>
      <w:sz w:val="19"/>
      <w:szCs w:val="19"/>
    </w:rPr>
  </w:style>
  <w:style w:type="paragraph" w:customStyle="1" w:styleId="Heading11">
    <w:name w:val="Heading #1"/>
    <w:basedOn w:val="Normal"/>
    <w:link w:val="Heading10"/>
    <w:pPr>
      <w:spacing w:line="283"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50">
    <w:name w:val="Body text (5)"/>
    <w:basedOn w:val="Normal"/>
    <w:link w:val="Bodytext5"/>
    <w:pPr>
      <w:jc w:val="center"/>
    </w:pPr>
    <w:rPr>
      <w:rFonts w:ascii="Arial" w:eastAsia="Arial" w:hAnsi="Arial" w:cs="Arial"/>
      <w:sz w:val="28"/>
      <w:szCs w:val="28"/>
    </w:rPr>
  </w:style>
  <w:style w:type="paragraph" w:customStyle="1" w:styleId="Bodytext20">
    <w:name w:val="Body text (2)"/>
    <w:basedOn w:val="Normal"/>
    <w:link w:val="Bodytext2"/>
    <w:pPr>
      <w:spacing w:line="197" w:lineRule="auto"/>
    </w:pPr>
    <w:rPr>
      <w:rFonts w:ascii="Arial" w:eastAsia="Arial" w:hAnsi="Arial" w:cs="Arial"/>
      <w:sz w:val="8"/>
      <w:szCs w:val="8"/>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spacing w:line="233" w:lineRule="auto"/>
    </w:pPr>
    <w:rPr>
      <w:rFonts w:ascii="Arial" w:eastAsia="Arial" w:hAnsi="Arial" w:cs="Arial"/>
      <w:sz w:val="8"/>
      <w:szCs w:val="8"/>
    </w:rPr>
  </w:style>
  <w:style w:type="paragraph" w:customStyle="1" w:styleId="Bodytext30">
    <w:name w:val="Body text (3)"/>
    <w:basedOn w:val="Normal"/>
    <w:link w:val="Bodytext3"/>
    <w:pPr>
      <w:ind w:left="3280"/>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35" w:lineRule="auto"/>
      <w:ind w:firstLine="370"/>
    </w:pPr>
    <w:rPr>
      <w:rFonts w:ascii="Arial" w:eastAsia="Arial" w:hAnsi="Arial" w:cs="Arial"/>
      <w:sz w:val="19"/>
      <w:szCs w:val="19"/>
    </w:rPr>
  </w:style>
  <w:style w:type="paragraph" w:customStyle="1" w:styleId="Heading11">
    <w:name w:val="Heading #1"/>
    <w:basedOn w:val="Normal"/>
    <w:link w:val="Heading10"/>
    <w:pPr>
      <w:spacing w:line="283" w:lineRule="auto"/>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R5J4jbc9AatLrjCzvqcfWgEZA==">CgMxLjA4AHIhMVN0Ymp0cktMRV9wWmdlc2ZCUTBZRDdENnRfUGExWXVD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Tran Ha Anh</cp:lastModifiedBy>
  <cp:revision>3</cp:revision>
  <dcterms:created xsi:type="dcterms:W3CDTF">2024-07-02T04:11:00Z</dcterms:created>
  <dcterms:modified xsi:type="dcterms:W3CDTF">2024-07-03T09:47:00Z</dcterms:modified>
</cp:coreProperties>
</file>