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D5" w:rsidRDefault="00483433" w:rsidP="00CE2C2B">
      <w:pPr>
        <w:pBdr>
          <w:top w:val="nil"/>
          <w:left w:val="nil"/>
          <w:bottom w:val="nil"/>
          <w:right w:val="nil"/>
          <w:between w:val="nil"/>
        </w:pBdr>
        <w:spacing w:after="120" w:line="360" w:lineRule="auto"/>
        <w:jc w:val="both"/>
        <w:rPr>
          <w:rFonts w:ascii="Arial" w:eastAsia="Arial" w:hAnsi="Arial" w:cs="Arial"/>
          <w:b/>
          <w:sz w:val="20"/>
          <w:szCs w:val="20"/>
        </w:rPr>
      </w:pPr>
      <w:r>
        <w:rPr>
          <w:rFonts w:ascii="Arial" w:hAnsi="Arial"/>
          <w:b/>
          <w:bCs/>
          <w:sz w:val="20"/>
        </w:rPr>
        <w:t>TV1:</w:t>
      </w:r>
      <w:r>
        <w:rPr>
          <w:rFonts w:ascii="Arial" w:hAnsi="Arial"/>
          <w:b/>
          <w:sz w:val="20"/>
        </w:rPr>
        <w:t xml:space="preserve"> Annual General Mandate 2024</w:t>
      </w:r>
    </w:p>
    <w:p w:rsidR="00D350D5" w:rsidRDefault="00483433" w:rsidP="00CE2C2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On June 25, 2024, Power Engineering Consulting Joint Stock Company 1 announced General Mandate No. 01/NQ-TVD1-DHDCD as follows:</w:t>
      </w:r>
    </w:p>
    <w:p w:rsidR="00D350D5" w:rsidRDefault="00483433" w:rsidP="00CE2C2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1.</w:t>
      </w:r>
      <w:proofErr w:type="gramEnd"/>
      <w:r>
        <w:rPr>
          <w:rFonts w:ascii="Arial" w:hAnsi="Arial"/>
          <w:sz w:val="20"/>
        </w:rPr>
        <w:t xml:space="preserve"> </w:t>
      </w:r>
      <w:r>
        <w:rPr>
          <w:rFonts w:ascii="Arial" w:hAnsi="Arial"/>
          <w:sz w:val="20"/>
        </w:rPr>
        <w:t>Approve the Report of the Board of Directors on activities results in 2023 and operating orientation for 2024.</w:t>
      </w:r>
    </w:p>
    <w:p w:rsidR="00D350D5" w:rsidRDefault="00483433" w:rsidP="00CE2C2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2.</w:t>
      </w:r>
      <w:proofErr w:type="gramEnd"/>
      <w:r>
        <w:rPr>
          <w:rFonts w:ascii="Arial" w:hAnsi="Arial"/>
          <w:sz w:val="20"/>
        </w:rPr>
        <w:t xml:space="preserve"> Approve the Report of the Executive Board on production and business results in 2023 and the plan for 2024.</w:t>
      </w:r>
    </w:p>
    <w:p w:rsidR="00D350D5" w:rsidRDefault="00483433" w:rsidP="00CE2C2B">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Main targets of producti</w:t>
      </w:r>
      <w:r>
        <w:rPr>
          <w:rFonts w:ascii="Arial" w:hAnsi="Arial"/>
          <w:sz w:val="20"/>
        </w:rPr>
        <w:t>on and business results in 2023 are as follows:</w:t>
      </w:r>
    </w:p>
    <w:p w:rsidR="00D350D5" w:rsidRDefault="00483433">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Unit: Billion VND</w:t>
      </w:r>
    </w:p>
    <w:tbl>
      <w:tblPr>
        <w:tblStyle w:val="a"/>
        <w:tblW w:w="9016" w:type="dxa"/>
        <w:tblLayout w:type="fixed"/>
        <w:tblLook w:val="0400" w:firstRow="0" w:lastRow="0" w:firstColumn="0" w:lastColumn="0" w:noHBand="0" w:noVBand="1"/>
      </w:tblPr>
      <w:tblGrid>
        <w:gridCol w:w="676"/>
        <w:gridCol w:w="5107"/>
        <w:gridCol w:w="1302"/>
        <w:gridCol w:w="1931"/>
      </w:tblGrid>
      <w:tr w:rsidR="00D350D5">
        <w:trPr>
          <w:trHeight w:val="835"/>
        </w:trPr>
        <w:tc>
          <w:tcPr>
            <w:tcW w:w="676" w:type="dxa"/>
            <w:tcBorders>
              <w:top w:val="single" w:sz="4" w:space="0" w:color="000000"/>
              <w:left w:val="single" w:sz="4" w:space="0" w:color="000000"/>
            </w:tcBorders>
            <w:shd w:val="clear" w:color="auto" w:fill="FFFFFF"/>
            <w:tcMar>
              <w:top w:w="0" w:type="dxa"/>
              <w:bottom w:w="0" w:type="dxa"/>
            </w:tcMar>
            <w:vAlign w:val="cente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5107" w:type="dxa"/>
            <w:tcBorders>
              <w:top w:val="single" w:sz="4" w:space="0" w:color="000000"/>
              <w:left w:val="single" w:sz="4" w:space="0" w:color="000000"/>
            </w:tcBorders>
            <w:shd w:val="clear" w:color="auto" w:fill="FFFFFF"/>
            <w:tcMar>
              <w:top w:w="0" w:type="dxa"/>
              <w:bottom w:w="0" w:type="dxa"/>
            </w:tcMar>
            <w:vAlign w:val="cente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Targets</w:t>
            </w:r>
          </w:p>
        </w:tc>
        <w:tc>
          <w:tcPr>
            <w:tcW w:w="1302"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Consolidated Financial Statements</w:t>
            </w:r>
          </w:p>
        </w:tc>
        <w:tc>
          <w:tcPr>
            <w:tcW w:w="193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Separate Financial Statements of the Holding company</w:t>
            </w:r>
          </w:p>
        </w:tc>
      </w:tr>
      <w:tr w:rsidR="00D350D5">
        <w:trPr>
          <w:trHeight w:val="299"/>
        </w:trPr>
        <w:tc>
          <w:tcPr>
            <w:tcW w:w="676"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5107"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tc>
        <w:tc>
          <w:tcPr>
            <w:tcW w:w="1302"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534.67</w:t>
            </w:r>
          </w:p>
        </w:tc>
        <w:tc>
          <w:tcPr>
            <w:tcW w:w="193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509.48</w:t>
            </w:r>
          </w:p>
        </w:tc>
      </w:tr>
      <w:tr w:rsidR="00D350D5">
        <w:trPr>
          <w:trHeight w:val="306"/>
        </w:trPr>
        <w:tc>
          <w:tcPr>
            <w:tcW w:w="676"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5107"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before tax</w:t>
            </w:r>
          </w:p>
        </w:tc>
        <w:tc>
          <w:tcPr>
            <w:tcW w:w="1302"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95.68</w:t>
            </w:r>
          </w:p>
        </w:tc>
        <w:tc>
          <w:tcPr>
            <w:tcW w:w="193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107.68</w:t>
            </w:r>
          </w:p>
        </w:tc>
      </w:tr>
      <w:tr w:rsidR="00D350D5">
        <w:trPr>
          <w:trHeight w:val="302"/>
        </w:trPr>
        <w:tc>
          <w:tcPr>
            <w:tcW w:w="676"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5107" w:type="dxa"/>
            <w:tcBorders>
              <w:top w:val="single" w:sz="4" w:space="0" w:color="000000"/>
              <w:left w:val="single" w:sz="4" w:space="0" w:color="000000"/>
              <w:bottom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w:t>
            </w:r>
          </w:p>
        </w:tc>
        <w:tc>
          <w:tcPr>
            <w:tcW w:w="1302" w:type="dxa"/>
            <w:tcBorders>
              <w:top w:val="single" w:sz="4" w:space="0" w:color="000000"/>
              <w:left w:val="single" w:sz="4" w:space="0" w:color="000000"/>
              <w:bottom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68.76</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80.98</w:t>
            </w:r>
          </w:p>
        </w:tc>
      </w:tr>
    </w:tbl>
    <w:p w:rsidR="00D350D5" w:rsidRDefault="00483433">
      <w:pPr>
        <w:numPr>
          <w:ilvl w:val="0"/>
          <w:numId w:val="3"/>
        </w:numPr>
        <w:pBdr>
          <w:top w:val="nil"/>
          <w:left w:val="nil"/>
          <w:bottom w:val="nil"/>
          <w:right w:val="nil"/>
          <w:between w:val="nil"/>
        </w:pBdr>
        <w:tabs>
          <w:tab w:val="left" w:pos="567"/>
        </w:tabs>
        <w:spacing w:after="120" w:line="360" w:lineRule="auto"/>
        <w:rPr>
          <w:rFonts w:ascii="Arial" w:eastAsia="Arial" w:hAnsi="Arial" w:cs="Arial"/>
          <w:sz w:val="20"/>
          <w:szCs w:val="20"/>
        </w:rPr>
      </w:pPr>
      <w:r>
        <w:rPr>
          <w:rFonts w:ascii="Arial" w:hAnsi="Arial"/>
          <w:sz w:val="20"/>
        </w:rPr>
        <w:t>Main targets of production and business plan for 2024 are as follows:</w:t>
      </w:r>
    </w:p>
    <w:tbl>
      <w:tblPr>
        <w:tblStyle w:val="a0"/>
        <w:tblW w:w="9016" w:type="dxa"/>
        <w:tblLayout w:type="fixed"/>
        <w:tblLook w:val="0400" w:firstRow="0" w:lastRow="0" w:firstColumn="0" w:lastColumn="0" w:noHBand="0" w:noVBand="1"/>
      </w:tblPr>
      <w:tblGrid>
        <w:gridCol w:w="677"/>
        <w:gridCol w:w="4524"/>
        <w:gridCol w:w="1884"/>
        <w:gridCol w:w="1931"/>
      </w:tblGrid>
      <w:tr w:rsidR="00D350D5">
        <w:trPr>
          <w:trHeight w:val="302"/>
        </w:trPr>
        <w:tc>
          <w:tcPr>
            <w:tcW w:w="677"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4524"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Contents</w:t>
            </w:r>
          </w:p>
        </w:tc>
        <w:tc>
          <w:tcPr>
            <w:tcW w:w="1884"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Unit</w:t>
            </w:r>
          </w:p>
        </w:tc>
        <w:tc>
          <w:tcPr>
            <w:tcW w:w="193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Value</w:t>
            </w:r>
          </w:p>
        </w:tc>
      </w:tr>
      <w:tr w:rsidR="00D350D5">
        <w:trPr>
          <w:trHeight w:val="1181"/>
        </w:trPr>
        <w:tc>
          <w:tcPr>
            <w:tcW w:w="677" w:type="dxa"/>
            <w:tcBorders>
              <w:top w:val="single" w:sz="4" w:space="0" w:color="000000"/>
              <w:left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4524"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revenue</w:t>
            </w:r>
          </w:p>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 which:</w:t>
            </w:r>
          </w:p>
          <w:p w:rsidR="00D350D5" w:rsidRPr="00495CA9" w:rsidRDefault="00483433">
            <w:pPr>
              <w:numPr>
                <w:ilvl w:val="0"/>
                <w:numId w:val="2"/>
              </w:numPr>
              <w:pBdr>
                <w:top w:val="nil"/>
                <w:left w:val="nil"/>
                <w:bottom w:val="nil"/>
                <w:right w:val="nil"/>
                <w:between w:val="nil"/>
              </w:pBdr>
              <w:tabs>
                <w:tab w:val="left" w:pos="248"/>
              </w:tabs>
              <w:spacing w:after="120" w:line="360" w:lineRule="auto"/>
              <w:rPr>
                <w:rFonts w:ascii="Arial" w:eastAsia="Arial" w:hAnsi="Arial" w:cs="Arial"/>
                <w:i/>
                <w:sz w:val="20"/>
                <w:szCs w:val="20"/>
              </w:rPr>
            </w:pPr>
            <w:r w:rsidRPr="00495CA9">
              <w:rPr>
                <w:rFonts w:ascii="Arial" w:hAnsi="Arial"/>
                <w:i/>
                <w:sz w:val="20"/>
              </w:rPr>
              <w:t>Revenue from consulting, designing, and other</w:t>
            </w:r>
          </w:p>
          <w:p w:rsidR="00D350D5" w:rsidRPr="00495CA9" w:rsidRDefault="00483433">
            <w:pPr>
              <w:numPr>
                <w:ilvl w:val="0"/>
                <w:numId w:val="2"/>
              </w:numPr>
              <w:pBdr>
                <w:top w:val="nil"/>
                <w:left w:val="nil"/>
                <w:bottom w:val="nil"/>
                <w:right w:val="nil"/>
                <w:between w:val="nil"/>
              </w:pBdr>
              <w:tabs>
                <w:tab w:val="left" w:pos="248"/>
              </w:tabs>
              <w:spacing w:after="120" w:line="360" w:lineRule="auto"/>
              <w:rPr>
                <w:rFonts w:ascii="Arial" w:eastAsia="Arial" w:hAnsi="Arial" w:cs="Arial"/>
                <w:i/>
                <w:sz w:val="20"/>
                <w:szCs w:val="20"/>
              </w:rPr>
            </w:pPr>
            <w:r w:rsidRPr="00495CA9">
              <w:rPr>
                <w:rFonts w:ascii="Arial" w:hAnsi="Arial"/>
                <w:i/>
                <w:sz w:val="20"/>
              </w:rPr>
              <w:t>Revenue from selling electricity</w:t>
            </w:r>
          </w:p>
        </w:tc>
        <w:tc>
          <w:tcPr>
            <w:tcW w:w="1884"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Billion VND</w:t>
            </w:r>
          </w:p>
          <w:p w:rsidR="00D350D5" w:rsidRPr="00495CA9" w:rsidRDefault="00483433">
            <w:pPr>
              <w:pBdr>
                <w:top w:val="nil"/>
                <w:left w:val="nil"/>
                <w:bottom w:val="nil"/>
                <w:right w:val="nil"/>
                <w:between w:val="nil"/>
              </w:pBdr>
              <w:spacing w:after="120" w:line="360" w:lineRule="auto"/>
              <w:rPr>
                <w:rFonts w:ascii="Arial" w:eastAsia="Arial" w:hAnsi="Arial" w:cs="Arial"/>
                <w:i/>
                <w:sz w:val="20"/>
                <w:szCs w:val="20"/>
              </w:rPr>
            </w:pPr>
            <w:r w:rsidRPr="00495CA9">
              <w:rPr>
                <w:rFonts w:ascii="Arial" w:hAnsi="Arial"/>
                <w:i/>
                <w:sz w:val="20"/>
              </w:rPr>
              <w:t>Billion VND      Billion VND</w:t>
            </w:r>
          </w:p>
        </w:tc>
        <w:tc>
          <w:tcPr>
            <w:tcW w:w="193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537.0</w:t>
            </w:r>
          </w:p>
          <w:p w:rsidR="00D350D5" w:rsidRPr="00495CA9" w:rsidRDefault="00483433">
            <w:pPr>
              <w:pBdr>
                <w:top w:val="nil"/>
                <w:left w:val="nil"/>
                <w:bottom w:val="nil"/>
                <w:right w:val="nil"/>
                <w:between w:val="nil"/>
              </w:pBdr>
              <w:spacing w:after="120" w:line="360" w:lineRule="auto"/>
              <w:rPr>
                <w:rFonts w:ascii="Arial" w:eastAsia="Arial" w:hAnsi="Arial" w:cs="Arial"/>
                <w:i/>
                <w:sz w:val="20"/>
                <w:szCs w:val="20"/>
              </w:rPr>
            </w:pPr>
            <w:r w:rsidRPr="00495CA9">
              <w:rPr>
                <w:rFonts w:ascii="Arial" w:hAnsi="Arial"/>
                <w:i/>
                <w:sz w:val="20"/>
              </w:rPr>
              <w:t>350.0</w:t>
            </w:r>
          </w:p>
          <w:p w:rsidR="00D350D5" w:rsidRDefault="00483433">
            <w:pPr>
              <w:pBdr>
                <w:top w:val="nil"/>
                <w:left w:val="nil"/>
                <w:bottom w:val="nil"/>
                <w:right w:val="nil"/>
                <w:between w:val="nil"/>
              </w:pBdr>
              <w:spacing w:after="120" w:line="360" w:lineRule="auto"/>
              <w:rPr>
                <w:rFonts w:ascii="Arial" w:eastAsia="Arial" w:hAnsi="Arial" w:cs="Arial"/>
                <w:sz w:val="20"/>
                <w:szCs w:val="20"/>
              </w:rPr>
            </w:pPr>
            <w:r w:rsidRPr="00495CA9">
              <w:rPr>
                <w:rFonts w:ascii="Arial" w:hAnsi="Arial"/>
                <w:i/>
                <w:sz w:val="20"/>
              </w:rPr>
              <w:t>187.0</w:t>
            </w:r>
          </w:p>
        </w:tc>
      </w:tr>
      <w:tr w:rsidR="00D350D5">
        <w:trPr>
          <w:trHeight w:val="306"/>
        </w:trPr>
        <w:tc>
          <w:tcPr>
            <w:tcW w:w="677" w:type="dxa"/>
            <w:tcBorders>
              <w:top w:val="single" w:sz="4" w:space="0" w:color="000000"/>
              <w:left w:val="single" w:sz="4" w:space="0" w:color="000000"/>
            </w:tcBorders>
            <w:shd w:val="clear" w:color="auto" w:fill="FFFFFF"/>
            <w:tcMar>
              <w:top w:w="0" w:type="dxa"/>
              <w:bottom w:w="0" w:type="dxa"/>
            </w:tcMar>
            <w:vAlign w:val="cente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4524"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profit before tax</w:t>
            </w:r>
          </w:p>
        </w:tc>
        <w:tc>
          <w:tcPr>
            <w:tcW w:w="1884"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Billion VND</w:t>
            </w:r>
          </w:p>
        </w:tc>
        <w:tc>
          <w:tcPr>
            <w:tcW w:w="193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108.5</w:t>
            </w:r>
          </w:p>
        </w:tc>
      </w:tr>
      <w:tr w:rsidR="00D350D5">
        <w:trPr>
          <w:trHeight w:val="299"/>
        </w:trPr>
        <w:tc>
          <w:tcPr>
            <w:tcW w:w="67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w:t>
            </w:r>
          </w:p>
        </w:tc>
        <w:tc>
          <w:tcPr>
            <w:tcW w:w="4524"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profit after tax:</w:t>
            </w:r>
          </w:p>
        </w:tc>
        <w:tc>
          <w:tcPr>
            <w:tcW w:w="1884"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Billion VND</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84.8</w:t>
            </w:r>
          </w:p>
        </w:tc>
      </w:tr>
    </w:tbl>
    <w:p w:rsidR="00D350D5" w:rsidRDefault="00483433" w:rsidP="00CE2C2B">
      <w:pPr>
        <w:numPr>
          <w:ilvl w:val="0"/>
          <w:numId w:val="3"/>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 xml:space="preserve">Plan on construction investment, procurement of assets, machinery and equipment in 2024: </w:t>
      </w:r>
      <w:r w:rsidR="00374C88" w:rsidRPr="00374C88">
        <w:rPr>
          <w:rFonts w:ascii="Arial" w:hAnsi="Arial"/>
          <w:sz w:val="20"/>
        </w:rPr>
        <w:t>VND7.0</w:t>
      </w:r>
      <w:r w:rsidRPr="00374C88">
        <w:rPr>
          <w:rFonts w:ascii="Arial" w:hAnsi="Arial"/>
          <w:sz w:val="20"/>
        </w:rPr>
        <w:t xml:space="preserve"> billion, including:</w:t>
      </w:r>
    </w:p>
    <w:p w:rsidR="00D350D5" w:rsidRDefault="00483433" w:rsidP="00CE2C2B">
      <w:pPr>
        <w:numPr>
          <w:ilvl w:val="0"/>
          <w:numId w:val="2"/>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Invest in equipment for factory and power grid operation management.</w:t>
      </w:r>
    </w:p>
    <w:p w:rsidR="00D350D5" w:rsidRDefault="00483433" w:rsidP="00CE2C2B">
      <w:pPr>
        <w:numPr>
          <w:ilvl w:val="0"/>
          <w:numId w:val="2"/>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Invest in a SCADA system according to IEC 60870-5-104 standards for Song Bung 5 Hydropower Plant.</w:t>
      </w:r>
    </w:p>
    <w:p w:rsidR="00D350D5" w:rsidRDefault="00483433" w:rsidP="00CE2C2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3.</w:t>
      </w:r>
      <w:proofErr w:type="gramEnd"/>
      <w:r>
        <w:rPr>
          <w:rFonts w:ascii="Arial" w:hAnsi="Arial"/>
          <w:sz w:val="20"/>
        </w:rPr>
        <w:t xml:space="preserve"> </w:t>
      </w:r>
      <w:r>
        <w:rPr>
          <w:rFonts w:ascii="Arial" w:hAnsi="Arial"/>
          <w:sz w:val="20"/>
        </w:rPr>
        <w:t>Approve the Report of the Supervisory Board on activities results in 2023 and the plan on activities for 2024.</w:t>
      </w:r>
    </w:p>
    <w:p w:rsidR="00D350D5" w:rsidRDefault="00483433" w:rsidP="00CE2C2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 xml:space="preserve">Article 4: </w:t>
      </w:r>
      <w:r>
        <w:rPr>
          <w:rFonts w:ascii="Arial" w:hAnsi="Arial"/>
          <w:sz w:val="20"/>
        </w:rPr>
        <w:t xml:space="preserve">Approve the Separate and Consolidated Financial Statements 2023 of the Holding Company audited by AASC Auditing Firm Company Limited; </w:t>
      </w:r>
      <w:r>
        <w:rPr>
          <w:rFonts w:ascii="Arial" w:hAnsi="Arial"/>
          <w:sz w:val="20"/>
        </w:rPr>
        <w:t xml:space="preserve">Results of handling outstanding financial matters in </w:t>
      </w:r>
      <w:r>
        <w:rPr>
          <w:rFonts w:ascii="Arial" w:hAnsi="Arial"/>
          <w:sz w:val="20"/>
        </w:rPr>
        <w:lastRenderedPageBreak/>
        <w:t>2023 stated in Proposal No. 04/TTr-TVD1-HDQT dated June 22, 2024 of the Board of Directors.</w:t>
      </w:r>
    </w:p>
    <w:p w:rsidR="00D350D5" w:rsidRDefault="00483433" w:rsidP="00CE2C2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5.</w:t>
      </w:r>
      <w:proofErr w:type="gramEnd"/>
      <w:r>
        <w:rPr>
          <w:rFonts w:ascii="Arial" w:hAnsi="Arial"/>
          <w:sz w:val="20"/>
        </w:rPr>
        <w:t xml:space="preserve"> Approve the profit distribution plan in 2023 as follows:</w:t>
      </w:r>
    </w:p>
    <w:p w:rsidR="00D350D5" w:rsidRDefault="00483433" w:rsidP="00CE2C2B">
      <w:pPr>
        <w:pBdr>
          <w:top w:val="nil"/>
          <w:left w:val="nil"/>
          <w:bottom w:val="nil"/>
          <w:right w:val="nil"/>
          <w:between w:val="nil"/>
        </w:pBdr>
        <w:spacing w:after="120" w:line="360" w:lineRule="auto"/>
        <w:jc w:val="right"/>
        <w:rPr>
          <w:rFonts w:ascii="Arial" w:eastAsia="Arial" w:hAnsi="Arial" w:cs="Arial"/>
          <w:sz w:val="20"/>
          <w:szCs w:val="20"/>
        </w:rPr>
      </w:pPr>
      <w:r>
        <w:rPr>
          <w:rFonts w:ascii="Arial" w:hAnsi="Arial"/>
          <w:sz w:val="20"/>
        </w:rPr>
        <w:t xml:space="preserve">Unit: </w:t>
      </w:r>
      <w:r>
        <w:rPr>
          <w:rFonts w:ascii="Arial" w:hAnsi="Arial"/>
          <w:sz w:val="20"/>
        </w:rPr>
        <w:t>Billion VND</w:t>
      </w:r>
    </w:p>
    <w:tbl>
      <w:tblPr>
        <w:tblStyle w:val="a1"/>
        <w:tblW w:w="9016" w:type="dxa"/>
        <w:tblLayout w:type="fixed"/>
        <w:tblLook w:val="0400" w:firstRow="0" w:lastRow="0" w:firstColumn="0" w:lastColumn="0" w:noHBand="0" w:noVBand="1"/>
      </w:tblPr>
      <w:tblGrid>
        <w:gridCol w:w="745"/>
        <w:gridCol w:w="7139"/>
        <w:gridCol w:w="1132"/>
      </w:tblGrid>
      <w:tr w:rsidR="00D350D5">
        <w:trPr>
          <w:trHeight w:val="529"/>
        </w:trPr>
        <w:tc>
          <w:tcPr>
            <w:tcW w:w="74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w:t>
            </w:r>
          </w:p>
        </w:tc>
        <w:tc>
          <w:tcPr>
            <w:tcW w:w="7139" w:type="dxa"/>
            <w:tcBorders>
              <w:top w:val="single" w:sz="4" w:space="0" w:color="000000"/>
              <w:left w:val="single" w:sz="4" w:space="0" w:color="000000"/>
            </w:tcBorders>
            <w:shd w:val="clear" w:color="auto" w:fill="FFFFFF"/>
            <w:tcMar>
              <w:top w:w="0" w:type="dxa"/>
              <w:bottom w:w="0" w:type="dxa"/>
            </w:tcMar>
          </w:tcPr>
          <w:p w:rsidR="00D350D5" w:rsidRDefault="00D350D5">
            <w:pPr>
              <w:pBdr>
                <w:top w:val="nil"/>
                <w:left w:val="nil"/>
                <w:bottom w:val="nil"/>
                <w:right w:val="nil"/>
                <w:between w:val="nil"/>
              </w:pBdr>
              <w:spacing w:after="120" w:line="360" w:lineRule="auto"/>
              <w:rPr>
                <w:rFonts w:ascii="Arial" w:eastAsia="Arial" w:hAnsi="Arial" w:cs="Arial"/>
                <w:sz w:val="20"/>
                <w:szCs w:val="20"/>
              </w:rPr>
            </w:pPr>
          </w:p>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w:t>
            </w:r>
          </w:p>
        </w:tc>
        <w:tc>
          <w:tcPr>
            <w:tcW w:w="1132" w:type="dxa"/>
            <w:tcBorders>
              <w:top w:val="single" w:sz="4" w:space="0" w:color="000000"/>
              <w:left w:val="single" w:sz="4" w:space="0" w:color="000000"/>
              <w:right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Amount</w:t>
            </w:r>
          </w:p>
        </w:tc>
      </w:tr>
      <w:tr w:rsidR="00D350D5">
        <w:trPr>
          <w:trHeight w:val="317"/>
        </w:trPr>
        <w:tc>
          <w:tcPr>
            <w:tcW w:w="74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w:t>
            </w:r>
          </w:p>
        </w:tc>
        <w:tc>
          <w:tcPr>
            <w:tcW w:w="7139"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distributed profit</w:t>
            </w:r>
          </w:p>
        </w:tc>
        <w:tc>
          <w:tcPr>
            <w:tcW w:w="113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86.21</w:t>
            </w:r>
          </w:p>
        </w:tc>
      </w:tr>
      <w:tr w:rsidR="00D350D5">
        <w:trPr>
          <w:trHeight w:val="313"/>
        </w:trPr>
        <w:tc>
          <w:tcPr>
            <w:tcW w:w="74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7139"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after tax in 2023</w:t>
            </w:r>
          </w:p>
        </w:tc>
        <w:tc>
          <w:tcPr>
            <w:tcW w:w="113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80.98</w:t>
            </w:r>
          </w:p>
        </w:tc>
      </w:tr>
      <w:tr w:rsidR="00D350D5">
        <w:trPr>
          <w:trHeight w:val="320"/>
        </w:trPr>
        <w:tc>
          <w:tcPr>
            <w:tcW w:w="745" w:type="dxa"/>
            <w:tcBorders>
              <w:top w:val="single" w:sz="4" w:space="0" w:color="000000"/>
              <w:left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7139" w:type="dxa"/>
            <w:tcBorders>
              <w:top w:val="single" w:sz="4" w:space="0" w:color="000000"/>
              <w:left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Retained profit of previous years</w:t>
            </w:r>
          </w:p>
        </w:tc>
        <w:tc>
          <w:tcPr>
            <w:tcW w:w="1132" w:type="dxa"/>
            <w:tcBorders>
              <w:top w:val="single" w:sz="4" w:space="0" w:color="000000"/>
              <w:left w:val="single" w:sz="4" w:space="0" w:color="000000"/>
              <w:right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5.24</w:t>
            </w:r>
          </w:p>
        </w:tc>
      </w:tr>
      <w:tr w:rsidR="00D350D5">
        <w:trPr>
          <w:trHeight w:val="310"/>
        </w:trPr>
        <w:tc>
          <w:tcPr>
            <w:tcW w:w="745" w:type="dxa"/>
            <w:tcBorders>
              <w:top w:val="single" w:sz="4" w:space="0" w:color="000000"/>
              <w:left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w:t>
            </w:r>
          </w:p>
        </w:tc>
        <w:tc>
          <w:tcPr>
            <w:tcW w:w="7139" w:type="dxa"/>
            <w:tcBorders>
              <w:top w:val="single" w:sz="4" w:space="0" w:color="000000"/>
              <w:left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Profit distribution plan</w:t>
            </w:r>
          </w:p>
        </w:tc>
        <w:tc>
          <w:tcPr>
            <w:tcW w:w="1132" w:type="dxa"/>
            <w:tcBorders>
              <w:top w:val="single" w:sz="4" w:space="0" w:color="000000"/>
              <w:left w:val="single" w:sz="4" w:space="0" w:color="000000"/>
              <w:right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r>
      <w:tr w:rsidR="00D350D5">
        <w:trPr>
          <w:trHeight w:val="317"/>
        </w:trPr>
        <w:tc>
          <w:tcPr>
            <w:tcW w:w="74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7139"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Investment and development fund</w:t>
            </w:r>
          </w:p>
        </w:tc>
        <w:tc>
          <w:tcPr>
            <w:tcW w:w="113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18.0</w:t>
            </w:r>
          </w:p>
        </w:tc>
      </w:tr>
      <w:tr w:rsidR="00D350D5">
        <w:trPr>
          <w:trHeight w:val="306"/>
        </w:trPr>
        <w:tc>
          <w:tcPr>
            <w:tcW w:w="74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7139"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and welfare funds for employees</w:t>
            </w:r>
          </w:p>
        </w:tc>
        <w:tc>
          <w:tcPr>
            <w:tcW w:w="113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30.602</w:t>
            </w:r>
          </w:p>
        </w:tc>
      </w:tr>
      <w:tr w:rsidR="00D350D5">
        <w:trPr>
          <w:trHeight w:val="299"/>
        </w:trPr>
        <w:tc>
          <w:tcPr>
            <w:tcW w:w="74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7139"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Bonus fund for corporate managers and supervisors</w:t>
            </w:r>
          </w:p>
        </w:tc>
        <w:tc>
          <w:tcPr>
            <w:tcW w:w="113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0.332</w:t>
            </w:r>
          </w:p>
        </w:tc>
      </w:tr>
      <w:tr w:rsidR="00D350D5">
        <w:trPr>
          <w:trHeight w:val="317"/>
        </w:trPr>
        <w:tc>
          <w:tcPr>
            <w:tcW w:w="74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7139"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Dividend payment in cash with a rate of 5%/par value of share</w:t>
            </w:r>
          </w:p>
        </w:tc>
        <w:tc>
          <w:tcPr>
            <w:tcW w:w="1132"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13.346</w:t>
            </w:r>
          </w:p>
        </w:tc>
      </w:tr>
      <w:tr w:rsidR="00D350D5">
        <w:trPr>
          <w:trHeight w:val="407"/>
        </w:trPr>
        <w:tc>
          <w:tcPr>
            <w:tcW w:w="745" w:type="dxa"/>
            <w:tcBorders>
              <w:top w:val="single" w:sz="4" w:space="0" w:color="000000"/>
              <w:left w:val="single" w:sz="4" w:space="0" w:color="000000"/>
              <w:bottom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III</w:t>
            </w:r>
          </w:p>
        </w:tc>
        <w:tc>
          <w:tcPr>
            <w:tcW w:w="7139" w:type="dxa"/>
            <w:tcBorders>
              <w:top w:val="single" w:sz="4" w:space="0" w:color="000000"/>
              <w:left w:val="single" w:sz="4" w:space="0" w:color="000000"/>
              <w:bottom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Retained profit</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23.935</w:t>
            </w:r>
          </w:p>
        </w:tc>
      </w:tr>
    </w:tbl>
    <w:p w:rsidR="00D350D5" w:rsidRDefault="00483433" w:rsidP="004930AA">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6.</w:t>
      </w:r>
      <w:proofErr w:type="gramEnd"/>
      <w:r>
        <w:rPr>
          <w:rFonts w:ascii="Arial" w:hAnsi="Arial"/>
          <w:sz w:val="20"/>
        </w:rPr>
        <w:t xml:space="preserve"> </w:t>
      </w:r>
      <w:r>
        <w:rPr>
          <w:rFonts w:ascii="Arial" w:hAnsi="Arial"/>
          <w:sz w:val="20"/>
        </w:rPr>
        <w:t>Approve the profit distribution plan for 2024 as follows:</w:t>
      </w:r>
    </w:p>
    <w:p w:rsidR="00D350D5" w:rsidRDefault="00483433" w:rsidP="004930AA">
      <w:pPr>
        <w:numPr>
          <w:ilvl w:val="0"/>
          <w:numId w:val="2"/>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Appropriation for in</w:t>
      </w:r>
      <w:r w:rsidR="00B34EF1">
        <w:rPr>
          <w:rFonts w:ascii="Arial" w:hAnsi="Arial"/>
          <w:sz w:val="20"/>
        </w:rPr>
        <w:t xml:space="preserve">vestment and development fund: </w:t>
      </w:r>
      <w:r>
        <w:rPr>
          <w:rFonts w:ascii="Arial" w:hAnsi="Arial"/>
          <w:sz w:val="20"/>
        </w:rPr>
        <w:t>D</w:t>
      </w:r>
      <w:bookmarkStart w:id="0" w:name="_GoBack"/>
      <w:bookmarkEnd w:id="0"/>
      <w:r w:rsidR="00B34EF1">
        <w:rPr>
          <w:rFonts w:ascii="Arial" w:hAnsi="Arial"/>
          <w:sz w:val="20"/>
        </w:rPr>
        <w:t>ecide</w:t>
      </w:r>
      <w:r w:rsidR="00B34EF1">
        <w:rPr>
          <w:rFonts w:ascii="Arial" w:hAnsi="Arial"/>
          <w:sz w:val="20"/>
        </w:rPr>
        <w:t>d in t</w:t>
      </w:r>
      <w:r>
        <w:rPr>
          <w:rFonts w:ascii="Arial" w:hAnsi="Arial"/>
          <w:sz w:val="20"/>
        </w:rPr>
        <w:t>he Annual General Meeting of Shareholders 2025</w:t>
      </w:r>
      <w:r>
        <w:rPr>
          <w:rFonts w:ascii="Arial" w:hAnsi="Arial"/>
          <w:sz w:val="20"/>
        </w:rPr>
        <w:t>; Maximum must not exceed 30% of profit after tax in 2024.</w:t>
      </w:r>
    </w:p>
    <w:p w:rsidR="00D350D5" w:rsidRDefault="00483433" w:rsidP="004930AA">
      <w:pPr>
        <w:numPr>
          <w:ilvl w:val="0"/>
          <w:numId w:val="2"/>
        </w:numPr>
        <w:pBdr>
          <w:top w:val="nil"/>
          <w:left w:val="nil"/>
          <w:bottom w:val="nil"/>
          <w:right w:val="nil"/>
          <w:between w:val="nil"/>
        </w:pBdr>
        <w:spacing w:after="120" w:line="360" w:lineRule="auto"/>
        <w:ind w:firstLine="360"/>
        <w:jc w:val="both"/>
        <w:rPr>
          <w:rFonts w:ascii="Arial" w:eastAsia="Arial" w:hAnsi="Arial" w:cs="Arial"/>
          <w:sz w:val="20"/>
          <w:szCs w:val="20"/>
        </w:rPr>
      </w:pPr>
      <w:r>
        <w:rPr>
          <w:rFonts w:ascii="Arial" w:hAnsi="Arial"/>
          <w:sz w:val="20"/>
        </w:rPr>
        <w:t xml:space="preserve">Appropriation for bonus and welfare funds: </w:t>
      </w:r>
      <w:r>
        <w:rPr>
          <w:rFonts w:ascii="Arial" w:hAnsi="Arial"/>
          <w:sz w:val="20"/>
        </w:rPr>
        <w:t>According to regulations in Clause 1, Article 18 of Circular No. 28/2016/-TT-BLDTBXH;</w:t>
      </w:r>
    </w:p>
    <w:p w:rsidR="00D350D5" w:rsidRDefault="00483433" w:rsidP="004930AA">
      <w:pPr>
        <w:numPr>
          <w:ilvl w:val="0"/>
          <w:numId w:val="2"/>
        </w:numPr>
        <w:pBdr>
          <w:top w:val="nil"/>
          <w:left w:val="nil"/>
          <w:bottom w:val="nil"/>
          <w:right w:val="nil"/>
          <w:between w:val="nil"/>
        </w:pBdr>
        <w:spacing w:after="120" w:line="360" w:lineRule="auto"/>
        <w:ind w:firstLine="360"/>
        <w:jc w:val="both"/>
        <w:rPr>
          <w:rFonts w:ascii="Arial" w:eastAsia="Arial" w:hAnsi="Arial" w:cs="Arial"/>
          <w:sz w:val="20"/>
          <w:szCs w:val="20"/>
        </w:rPr>
      </w:pPr>
      <w:r>
        <w:rPr>
          <w:rFonts w:ascii="Arial" w:hAnsi="Arial"/>
          <w:sz w:val="20"/>
        </w:rPr>
        <w:t>Appropriation for bonus fund for the corporate managers and the supervisors:</w:t>
      </w:r>
      <w:r>
        <w:rPr>
          <w:rFonts w:ascii="Arial" w:hAnsi="Arial"/>
          <w:sz w:val="20"/>
        </w:rPr>
        <w:t xml:space="preserve"> According to regulations in Clause 2, Article 18 of Circular No. 28/2016/-TT-BLDTBXH;</w:t>
      </w:r>
    </w:p>
    <w:p w:rsidR="00D350D5" w:rsidRDefault="00483433" w:rsidP="004930AA">
      <w:pPr>
        <w:numPr>
          <w:ilvl w:val="0"/>
          <w:numId w:val="2"/>
        </w:num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Dividen</w:t>
      </w:r>
      <w:r>
        <w:rPr>
          <w:rFonts w:ascii="Arial" w:hAnsi="Arial"/>
          <w:sz w:val="20"/>
        </w:rPr>
        <w:t xml:space="preserve">d payment: </w:t>
      </w:r>
      <w:r>
        <w:rPr>
          <w:rFonts w:ascii="Arial" w:hAnsi="Arial"/>
          <w:sz w:val="20"/>
        </w:rPr>
        <w:t>Not lower than 6%/par value, in cash.</w:t>
      </w:r>
    </w:p>
    <w:p w:rsidR="00D350D5" w:rsidRDefault="00483433" w:rsidP="004930AA">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7.</w:t>
      </w:r>
      <w:proofErr w:type="gramEnd"/>
      <w:r>
        <w:rPr>
          <w:rFonts w:ascii="Arial" w:hAnsi="Arial"/>
          <w:sz w:val="20"/>
        </w:rPr>
        <w:t xml:space="preserve"> Approve the realized salary, remuneration fund for the Board of Directors and the Supervisory Board in 2023 and the planned salary, remuneration fund for the Board of Directors and the Supervisory</w:t>
      </w:r>
      <w:r>
        <w:rPr>
          <w:rFonts w:ascii="Arial" w:hAnsi="Arial"/>
          <w:sz w:val="20"/>
        </w:rPr>
        <w:t xml:space="preserve"> Board in 2024 as follows:</w:t>
      </w:r>
    </w:p>
    <w:p w:rsidR="00D350D5" w:rsidRDefault="00483433" w:rsidP="004930AA">
      <w:pPr>
        <w:numPr>
          <w:ilvl w:val="0"/>
          <w:numId w:val="4"/>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Total realized salary, remuneration fund of the Board of Directors and the Supervisory Board in 2023: VND1,672,452,000</w:t>
      </w:r>
    </w:p>
    <w:p w:rsidR="00D350D5" w:rsidRDefault="00483433" w:rsidP="004930AA">
      <w:pPr>
        <w:numPr>
          <w:ilvl w:val="0"/>
          <w:numId w:val="4"/>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Total planned salary, remuneration fund of the Board of Directors and the Supervisory Board in 2024 of VND2.304 billion Specifically as follows:</w:t>
      </w:r>
    </w:p>
    <w:tbl>
      <w:tblPr>
        <w:tblStyle w:val="a2"/>
        <w:tblW w:w="9016" w:type="dxa"/>
        <w:tblLayout w:type="fixed"/>
        <w:tblLook w:val="0400" w:firstRow="0" w:lastRow="0" w:firstColumn="0" w:lastColumn="0" w:noHBand="0" w:noVBand="1"/>
      </w:tblPr>
      <w:tblGrid>
        <w:gridCol w:w="532"/>
        <w:gridCol w:w="4375"/>
        <w:gridCol w:w="891"/>
        <w:gridCol w:w="1060"/>
        <w:gridCol w:w="1107"/>
        <w:gridCol w:w="1051"/>
      </w:tblGrid>
      <w:tr w:rsidR="00D350D5">
        <w:trPr>
          <w:trHeight w:val="1483"/>
        </w:trPr>
        <w:tc>
          <w:tcPr>
            <w:tcW w:w="532" w:type="dxa"/>
            <w:tcBorders>
              <w:top w:val="single" w:sz="4" w:space="0" w:color="000000"/>
              <w:left w:val="single" w:sz="4" w:space="0" w:color="000000"/>
            </w:tcBorders>
            <w:shd w:val="clear" w:color="auto" w:fill="FFFFFF"/>
            <w:tcMar>
              <w:top w:w="0" w:type="dxa"/>
              <w:bottom w:w="0" w:type="dxa"/>
            </w:tcMar>
            <w:vAlign w:val="cente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lastRenderedPageBreak/>
              <w:t>No.</w:t>
            </w:r>
          </w:p>
        </w:tc>
        <w:tc>
          <w:tcPr>
            <w:tcW w:w="4375" w:type="dxa"/>
            <w:tcBorders>
              <w:top w:val="single" w:sz="4" w:space="0" w:color="000000"/>
              <w:left w:val="single" w:sz="4" w:space="0" w:color="000000"/>
            </w:tcBorders>
            <w:shd w:val="clear" w:color="auto" w:fill="FFFFFF"/>
            <w:tcMar>
              <w:top w:w="0" w:type="dxa"/>
              <w:bottom w:w="0" w:type="dxa"/>
            </w:tcMar>
            <w:vAlign w:val="cente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Contents</w:t>
            </w:r>
          </w:p>
        </w:tc>
        <w:tc>
          <w:tcPr>
            <w:tcW w:w="891" w:type="dxa"/>
            <w:tcBorders>
              <w:top w:val="single" w:sz="4" w:space="0" w:color="000000"/>
              <w:left w:val="single" w:sz="4" w:space="0" w:color="000000"/>
            </w:tcBorders>
            <w:shd w:val="clear" w:color="auto" w:fill="FFFFFF"/>
            <w:tcMar>
              <w:top w:w="0" w:type="dxa"/>
              <w:bottom w:w="0" w:type="dxa"/>
            </w:tcMar>
            <w:vAlign w:val="cente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Number of persons</w:t>
            </w:r>
          </w:p>
        </w:tc>
        <w:tc>
          <w:tcPr>
            <w:tcW w:w="1060"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Salary/person (Million VND)</w:t>
            </w:r>
          </w:p>
          <w:p w:rsidR="00D350D5" w:rsidRDefault="00D350D5">
            <w:pPr>
              <w:pBdr>
                <w:top w:val="nil"/>
                <w:left w:val="nil"/>
                <w:bottom w:val="nil"/>
                <w:right w:val="nil"/>
                <w:between w:val="nil"/>
              </w:pBdr>
              <w:spacing w:after="120" w:line="360" w:lineRule="auto"/>
              <w:rPr>
                <w:rFonts w:ascii="Arial" w:eastAsia="Arial" w:hAnsi="Arial" w:cs="Arial"/>
                <w:sz w:val="20"/>
                <w:szCs w:val="20"/>
              </w:rPr>
            </w:pPr>
          </w:p>
        </w:tc>
        <w:tc>
          <w:tcPr>
            <w:tcW w:w="1107"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Remuneration/person (Million VND)</w:t>
            </w:r>
          </w:p>
          <w:p w:rsidR="00D350D5" w:rsidRDefault="00D350D5">
            <w:pPr>
              <w:pBdr>
                <w:top w:val="nil"/>
                <w:left w:val="nil"/>
                <w:bottom w:val="nil"/>
                <w:right w:val="nil"/>
                <w:between w:val="nil"/>
              </w:pBdr>
              <w:spacing w:after="120" w:line="360" w:lineRule="auto"/>
              <w:rPr>
                <w:rFonts w:ascii="Arial" w:eastAsia="Arial" w:hAnsi="Arial" w:cs="Arial"/>
                <w:sz w:val="20"/>
                <w:szCs w:val="20"/>
              </w:rPr>
            </w:pPr>
          </w:p>
        </w:tc>
        <w:tc>
          <w:tcPr>
            <w:tcW w:w="1051" w:type="dxa"/>
            <w:tcBorders>
              <w:top w:val="single" w:sz="4" w:space="0" w:color="000000"/>
              <w:left w:val="single" w:sz="4" w:space="0" w:color="000000"/>
              <w:right w:val="single" w:sz="4" w:space="0" w:color="000000"/>
            </w:tcBorders>
            <w:shd w:val="clear" w:color="auto" w:fill="FFFFFF"/>
            <w:tcMar>
              <w:top w:w="0" w:type="dxa"/>
              <w:bottom w:w="0" w:type="dxa"/>
            </w:tcMa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 (Million VND)</w:t>
            </w:r>
          </w:p>
        </w:tc>
      </w:tr>
      <w:tr w:rsidR="00D350D5">
        <w:trPr>
          <w:trHeight w:val="302"/>
        </w:trPr>
        <w:tc>
          <w:tcPr>
            <w:tcW w:w="532"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w:t>
            </w:r>
          </w:p>
        </w:tc>
        <w:tc>
          <w:tcPr>
            <w:tcW w:w="437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Non-executive Chair of the Board of Directors</w:t>
            </w:r>
          </w:p>
        </w:tc>
        <w:tc>
          <w:tcPr>
            <w:tcW w:w="891"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01</w:t>
            </w:r>
          </w:p>
        </w:tc>
        <w:tc>
          <w:tcPr>
            <w:tcW w:w="1060" w:type="dxa"/>
            <w:tcBorders>
              <w:top w:val="single" w:sz="4" w:space="0" w:color="000000"/>
              <w:left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1107"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10.8</w:t>
            </w:r>
          </w:p>
        </w:tc>
        <w:tc>
          <w:tcPr>
            <w:tcW w:w="105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129.6</w:t>
            </w:r>
          </w:p>
        </w:tc>
      </w:tr>
      <w:tr w:rsidR="00D350D5">
        <w:trPr>
          <w:trHeight w:val="302"/>
        </w:trPr>
        <w:tc>
          <w:tcPr>
            <w:tcW w:w="532"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w:t>
            </w:r>
          </w:p>
        </w:tc>
        <w:tc>
          <w:tcPr>
            <w:tcW w:w="437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Directors-cum-General Manager</w:t>
            </w:r>
          </w:p>
        </w:tc>
        <w:tc>
          <w:tcPr>
            <w:tcW w:w="891"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01</w:t>
            </w:r>
          </w:p>
        </w:tc>
        <w:tc>
          <w:tcPr>
            <w:tcW w:w="1060"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52.0</w:t>
            </w:r>
          </w:p>
        </w:tc>
        <w:tc>
          <w:tcPr>
            <w:tcW w:w="1107" w:type="dxa"/>
            <w:tcBorders>
              <w:top w:val="single" w:sz="4" w:space="0" w:color="000000"/>
              <w:left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105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624.0</w:t>
            </w:r>
          </w:p>
        </w:tc>
      </w:tr>
      <w:tr w:rsidR="00D350D5">
        <w:trPr>
          <w:trHeight w:val="299"/>
        </w:trPr>
        <w:tc>
          <w:tcPr>
            <w:tcW w:w="532"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3</w:t>
            </w:r>
          </w:p>
        </w:tc>
        <w:tc>
          <w:tcPr>
            <w:tcW w:w="437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Member of the Board of Directors-cum-Deputy General Manager</w:t>
            </w:r>
          </w:p>
        </w:tc>
        <w:tc>
          <w:tcPr>
            <w:tcW w:w="891"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01</w:t>
            </w:r>
          </w:p>
        </w:tc>
        <w:tc>
          <w:tcPr>
            <w:tcW w:w="1060"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46.0</w:t>
            </w:r>
          </w:p>
        </w:tc>
        <w:tc>
          <w:tcPr>
            <w:tcW w:w="1107" w:type="dxa"/>
            <w:tcBorders>
              <w:top w:val="single" w:sz="4" w:space="0" w:color="000000"/>
              <w:left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105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552.0</w:t>
            </w:r>
          </w:p>
        </w:tc>
      </w:tr>
      <w:tr w:rsidR="00D350D5">
        <w:trPr>
          <w:trHeight w:val="594"/>
        </w:trPr>
        <w:tc>
          <w:tcPr>
            <w:tcW w:w="532" w:type="dxa"/>
            <w:tcBorders>
              <w:top w:val="single" w:sz="4" w:space="0" w:color="000000"/>
              <w:left w:val="single" w:sz="4" w:space="0" w:color="000000"/>
            </w:tcBorders>
            <w:shd w:val="clear" w:color="auto" w:fill="FFFFFF"/>
            <w:tcMar>
              <w:top w:w="0" w:type="dxa"/>
              <w:bottom w:w="0" w:type="dxa"/>
            </w:tcMar>
            <w:vAlign w:val="cente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w:t>
            </w:r>
          </w:p>
        </w:tc>
        <w:tc>
          <w:tcPr>
            <w:tcW w:w="437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Non-executive member of the Board of Directors/independent member of the Board of Directors</w:t>
            </w:r>
          </w:p>
        </w:tc>
        <w:tc>
          <w:tcPr>
            <w:tcW w:w="891" w:type="dxa"/>
            <w:tcBorders>
              <w:top w:val="single" w:sz="4" w:space="0" w:color="000000"/>
              <w:left w:val="single" w:sz="4" w:space="0" w:color="000000"/>
            </w:tcBorders>
            <w:shd w:val="clear" w:color="auto" w:fill="FFFFFF"/>
            <w:tcMar>
              <w:top w:w="0" w:type="dxa"/>
              <w:bottom w:w="0" w:type="dxa"/>
            </w:tcMar>
            <w:vAlign w:val="cente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02</w:t>
            </w:r>
          </w:p>
        </w:tc>
        <w:tc>
          <w:tcPr>
            <w:tcW w:w="1060" w:type="dxa"/>
            <w:tcBorders>
              <w:top w:val="single" w:sz="4" w:space="0" w:color="000000"/>
              <w:left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1107" w:type="dxa"/>
            <w:tcBorders>
              <w:top w:val="single" w:sz="4" w:space="0" w:color="000000"/>
              <w:left w:val="single" w:sz="4" w:space="0" w:color="000000"/>
            </w:tcBorders>
            <w:shd w:val="clear" w:color="auto" w:fill="FFFFFF"/>
            <w:tcMar>
              <w:top w:w="0" w:type="dxa"/>
              <w:bottom w:w="0" w:type="dxa"/>
            </w:tcMar>
            <w:vAlign w:val="cente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9.2</w:t>
            </w:r>
          </w:p>
        </w:tc>
        <w:tc>
          <w:tcPr>
            <w:tcW w:w="1051"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220.8</w:t>
            </w:r>
          </w:p>
        </w:tc>
      </w:tr>
      <w:tr w:rsidR="00D350D5">
        <w:trPr>
          <w:trHeight w:val="302"/>
        </w:trPr>
        <w:tc>
          <w:tcPr>
            <w:tcW w:w="532"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w:t>
            </w:r>
          </w:p>
        </w:tc>
        <w:tc>
          <w:tcPr>
            <w:tcW w:w="437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Non-executive Chief of the Supervisory Board</w:t>
            </w:r>
          </w:p>
        </w:tc>
        <w:tc>
          <w:tcPr>
            <w:tcW w:w="891"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01</w:t>
            </w:r>
          </w:p>
        </w:tc>
        <w:tc>
          <w:tcPr>
            <w:tcW w:w="1060" w:type="dxa"/>
            <w:tcBorders>
              <w:top w:val="single" w:sz="4" w:space="0" w:color="000000"/>
              <w:left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1107"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9.6</w:t>
            </w:r>
          </w:p>
        </w:tc>
        <w:tc>
          <w:tcPr>
            <w:tcW w:w="105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115.2</w:t>
            </w:r>
          </w:p>
        </w:tc>
      </w:tr>
      <w:tr w:rsidR="00D350D5">
        <w:trPr>
          <w:trHeight w:val="302"/>
        </w:trPr>
        <w:tc>
          <w:tcPr>
            <w:tcW w:w="532"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6</w:t>
            </w:r>
          </w:p>
        </w:tc>
        <w:tc>
          <w:tcPr>
            <w:tcW w:w="437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Executive member of the Supervisory Board</w:t>
            </w:r>
          </w:p>
        </w:tc>
        <w:tc>
          <w:tcPr>
            <w:tcW w:w="891"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01</w:t>
            </w:r>
          </w:p>
        </w:tc>
        <w:tc>
          <w:tcPr>
            <w:tcW w:w="1060"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46.0</w:t>
            </w:r>
          </w:p>
        </w:tc>
        <w:tc>
          <w:tcPr>
            <w:tcW w:w="1107" w:type="dxa"/>
            <w:tcBorders>
              <w:top w:val="single" w:sz="4" w:space="0" w:color="000000"/>
              <w:left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105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552.0</w:t>
            </w:r>
          </w:p>
        </w:tc>
      </w:tr>
      <w:tr w:rsidR="00D350D5">
        <w:trPr>
          <w:trHeight w:val="310"/>
        </w:trPr>
        <w:tc>
          <w:tcPr>
            <w:tcW w:w="532"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7</w:t>
            </w:r>
          </w:p>
        </w:tc>
        <w:tc>
          <w:tcPr>
            <w:tcW w:w="4375"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Non-executive member of the Supervisory Board</w:t>
            </w:r>
          </w:p>
        </w:tc>
        <w:tc>
          <w:tcPr>
            <w:tcW w:w="891"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01</w:t>
            </w:r>
          </w:p>
        </w:tc>
        <w:tc>
          <w:tcPr>
            <w:tcW w:w="1060" w:type="dxa"/>
            <w:tcBorders>
              <w:top w:val="single" w:sz="4" w:space="0" w:color="000000"/>
              <w:left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1107" w:type="dxa"/>
            <w:tcBorders>
              <w:top w:val="single" w:sz="4" w:space="0" w:color="000000"/>
              <w:lef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9.2</w:t>
            </w:r>
          </w:p>
        </w:tc>
        <w:tc>
          <w:tcPr>
            <w:tcW w:w="1051"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110.4</w:t>
            </w:r>
          </w:p>
        </w:tc>
      </w:tr>
      <w:tr w:rsidR="00D350D5">
        <w:trPr>
          <w:trHeight w:val="310"/>
        </w:trPr>
        <w:tc>
          <w:tcPr>
            <w:tcW w:w="532" w:type="dxa"/>
            <w:tcBorders>
              <w:top w:val="single" w:sz="4" w:space="0" w:color="000000"/>
              <w:left w:val="single" w:sz="4" w:space="0" w:color="000000"/>
              <w:bottom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4375"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Total</w:t>
            </w:r>
          </w:p>
        </w:tc>
        <w:tc>
          <w:tcPr>
            <w:tcW w:w="891" w:type="dxa"/>
            <w:tcBorders>
              <w:top w:val="single" w:sz="4" w:space="0" w:color="000000"/>
              <w:left w:val="single" w:sz="4" w:space="0" w:color="000000"/>
              <w:bottom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1060" w:type="dxa"/>
            <w:tcBorders>
              <w:top w:val="single" w:sz="4" w:space="0" w:color="000000"/>
              <w:left w:val="single" w:sz="4" w:space="0" w:color="000000"/>
              <w:bottom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1107" w:type="dxa"/>
            <w:tcBorders>
              <w:top w:val="single" w:sz="4" w:space="0" w:color="000000"/>
              <w:left w:val="single" w:sz="4" w:space="0" w:color="000000"/>
              <w:bottom w:val="single" w:sz="4" w:space="0" w:color="000000"/>
            </w:tcBorders>
            <w:shd w:val="clear" w:color="auto" w:fill="FFFFFF"/>
            <w:tcMar>
              <w:top w:w="0" w:type="dxa"/>
              <w:bottom w:w="0" w:type="dxa"/>
            </w:tcMar>
          </w:tcPr>
          <w:p w:rsidR="00D350D5" w:rsidRDefault="00D350D5">
            <w:pPr>
              <w:spacing w:after="120" w:line="360" w:lineRule="auto"/>
              <w:rPr>
                <w:rFonts w:ascii="Arial" w:eastAsia="Arial" w:hAnsi="Arial" w:cs="Arial"/>
                <w:sz w:val="20"/>
                <w:szCs w:val="20"/>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rsidR="00D350D5" w:rsidRDefault="00483433">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rPr>
              <w:t>2,304.0</w:t>
            </w:r>
          </w:p>
        </w:tc>
      </w:tr>
    </w:tbl>
    <w:p w:rsidR="00D350D5" w:rsidRDefault="00483433" w:rsidP="00CE2C2B">
      <w:pPr>
        <w:pBdr>
          <w:top w:val="nil"/>
          <w:left w:val="nil"/>
          <w:bottom w:val="nil"/>
          <w:right w:val="nil"/>
          <w:between w:val="nil"/>
        </w:pBdr>
        <w:spacing w:after="120" w:line="360" w:lineRule="auto"/>
        <w:jc w:val="both"/>
        <w:rPr>
          <w:rFonts w:ascii="Arial" w:eastAsia="Arial" w:hAnsi="Arial" w:cs="Arial"/>
          <w:sz w:val="20"/>
          <w:szCs w:val="20"/>
        </w:rPr>
      </w:pPr>
      <w:proofErr w:type="gramStart"/>
      <w:r>
        <w:rPr>
          <w:rFonts w:ascii="Arial" w:hAnsi="Arial"/>
          <w:sz w:val="20"/>
        </w:rPr>
        <w:t>Article 8.</w:t>
      </w:r>
      <w:proofErr w:type="gramEnd"/>
      <w:r>
        <w:rPr>
          <w:rFonts w:ascii="Arial" w:hAnsi="Arial"/>
          <w:sz w:val="20"/>
        </w:rPr>
        <w:t xml:space="preserve"> The Annual General Meeting of Shareholders 2024 approved on authorizing the Board of Directors to:</w:t>
      </w:r>
    </w:p>
    <w:p w:rsidR="00D350D5" w:rsidRDefault="00483433" w:rsidP="00CE2C2B">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Decide on adjusting the production and business plan for 2024 in case the production and business targets reach higher than the plan stated in Clause 2, Article 2 of this General Mandate.</w:t>
      </w:r>
    </w:p>
    <w:p w:rsidR="00D350D5" w:rsidRDefault="00483433" w:rsidP="00CE2C2B">
      <w:pPr>
        <w:numPr>
          <w:ilvl w:val="0"/>
          <w:numId w:val="1"/>
        </w:numPr>
        <w:pBdr>
          <w:top w:val="nil"/>
          <w:left w:val="nil"/>
          <w:bottom w:val="nil"/>
          <w:right w:val="nil"/>
          <w:between w:val="nil"/>
        </w:pBdr>
        <w:tabs>
          <w:tab w:val="left" w:pos="567"/>
        </w:tabs>
        <w:spacing w:after="120" w:line="360" w:lineRule="auto"/>
        <w:jc w:val="both"/>
        <w:rPr>
          <w:rFonts w:ascii="Arial" w:eastAsia="Arial" w:hAnsi="Arial" w:cs="Arial"/>
          <w:sz w:val="20"/>
          <w:szCs w:val="20"/>
        </w:rPr>
      </w:pPr>
      <w:r>
        <w:rPr>
          <w:rFonts w:ascii="Arial" w:hAnsi="Arial"/>
          <w:sz w:val="20"/>
        </w:rPr>
        <w:t>Decide on the audit company to audit the Financial Statements of the Company in the period 2024-2025 on the basis of the list of 05 audit companies proposed by the Supervisory Board, including: (1) AASC Auditing Firm Company Limited; (2) A&amp;C Auditing and C</w:t>
      </w:r>
      <w:r>
        <w:rPr>
          <w:rFonts w:ascii="Arial" w:hAnsi="Arial"/>
          <w:sz w:val="20"/>
        </w:rPr>
        <w:t>onsulting Company Limited; (3) Vietnam Auditing and Evaluation Co., Ltd.; (4) VACO Auditing Company Limited; (5) RSM Vietnam Auditing &amp; Consulting Limited.</w:t>
      </w:r>
    </w:p>
    <w:p w:rsidR="00D350D5" w:rsidRDefault="00483433" w:rsidP="00CE2C2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Article 9: Terms of enforcement</w:t>
      </w:r>
    </w:p>
    <w:p w:rsidR="00D350D5" w:rsidRDefault="00483433" w:rsidP="00CE2C2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This General Mandate was completely prepared at 1:30 p.m. on June 25</w:t>
      </w:r>
      <w:r>
        <w:rPr>
          <w:rFonts w:ascii="Arial" w:hAnsi="Arial"/>
          <w:sz w:val="20"/>
        </w:rPr>
        <w:t xml:space="preserve">, 2024, read and approved. </w:t>
      </w:r>
    </w:p>
    <w:p w:rsidR="00D350D5" w:rsidRDefault="00483433" w:rsidP="00CE2C2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This General Mandate takes effect after the completion of the Meeting.</w:t>
      </w:r>
    </w:p>
    <w:p w:rsidR="00D350D5" w:rsidRDefault="00483433" w:rsidP="00CE2C2B">
      <w:pPr>
        <w:pBdr>
          <w:top w:val="nil"/>
          <w:left w:val="nil"/>
          <w:bottom w:val="nil"/>
          <w:right w:val="nil"/>
          <w:between w:val="nil"/>
        </w:pBdr>
        <w:spacing w:after="120" w:line="360" w:lineRule="auto"/>
        <w:jc w:val="both"/>
        <w:rPr>
          <w:rFonts w:ascii="Arial" w:eastAsia="Arial" w:hAnsi="Arial" w:cs="Arial"/>
          <w:sz w:val="20"/>
          <w:szCs w:val="20"/>
        </w:rPr>
      </w:pPr>
      <w:r>
        <w:rPr>
          <w:rFonts w:ascii="Arial" w:hAnsi="Arial"/>
          <w:sz w:val="20"/>
        </w:rPr>
        <w:t>The Board of Directors, the Supervisory Board, the General Manager, and all shareholders of Power Engineering Consulting Joint Stock Company 1 are responsibl</w:t>
      </w:r>
      <w:r>
        <w:rPr>
          <w:rFonts w:ascii="Arial" w:hAnsi="Arial"/>
          <w:sz w:val="20"/>
        </w:rPr>
        <w:t>e for implementing this General Mandate./.</w:t>
      </w:r>
    </w:p>
    <w:sectPr w:rsidR="00D350D5">
      <w:pgSz w:w="11906" w:h="16838"/>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D4B"/>
    <w:multiLevelType w:val="multilevel"/>
    <w:tmpl w:val="44A24D4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B636512"/>
    <w:multiLevelType w:val="multilevel"/>
    <w:tmpl w:val="3D542F66"/>
    <w:lvl w:ilvl="0">
      <w:start w:val="1"/>
      <w:numFmt w:val="bullet"/>
      <w:lvlText w:val="-"/>
      <w:lvlJc w:val="left"/>
      <w:pPr>
        <w:ind w:left="0" w:firstLine="0"/>
      </w:pPr>
      <w:rPr>
        <w:rFonts w:ascii="Arial" w:eastAsia="Arial" w:hAnsi="Arial" w:cs="Arial"/>
        <w:b w:val="0"/>
        <w:i/>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29A7444"/>
    <w:multiLevelType w:val="multilevel"/>
    <w:tmpl w:val="4060FC28"/>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39725A5"/>
    <w:multiLevelType w:val="multilevel"/>
    <w:tmpl w:val="C7488E94"/>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D350D5"/>
    <w:rsid w:val="00374C88"/>
    <w:rsid w:val="00483433"/>
    <w:rsid w:val="004930AA"/>
    <w:rsid w:val="00495CA9"/>
    <w:rsid w:val="00B34EF1"/>
    <w:rsid w:val="00CE2C2B"/>
    <w:rsid w:val="00D3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D374F"/>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ahoma" w:eastAsia="Tahoma" w:hAnsi="Tahoma" w:cs="Tahoma"/>
      <w:b/>
      <w:bCs/>
      <w:i w:val="0"/>
      <w:iCs w:val="0"/>
      <w:smallCaps w:val="0"/>
      <w:strike w:val="0"/>
      <w:color w:val="DD374F"/>
      <w:sz w:val="17"/>
      <w:szCs w:val="17"/>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52" w:lineRule="auto"/>
      <w:ind w:firstLine="400"/>
    </w:pPr>
    <w:rPr>
      <w:rFonts w:ascii="Times New Roman" w:eastAsia="Times New Roman" w:hAnsi="Times New Roman" w:cs="Times New Roman"/>
    </w:rPr>
  </w:style>
  <w:style w:type="paragraph" w:customStyle="1" w:styleId="Bodytext40">
    <w:name w:val="Body text (4)"/>
    <w:basedOn w:val="Normal"/>
    <w:link w:val="Bodytext4"/>
    <w:pPr>
      <w:spacing w:line="322" w:lineRule="auto"/>
      <w:jc w:val="right"/>
    </w:pPr>
    <w:rPr>
      <w:rFonts w:ascii="Arial" w:eastAsia="Arial" w:hAnsi="Arial" w:cs="Arial"/>
      <w:b/>
      <w:bCs/>
      <w:color w:val="DD374F"/>
      <w:sz w:val="18"/>
      <w:szCs w:val="18"/>
    </w:rPr>
  </w:style>
  <w:style w:type="paragraph" w:customStyle="1" w:styleId="Bodytext20">
    <w:name w:val="Body text (2)"/>
    <w:basedOn w:val="Normal"/>
    <w:link w:val="Bodytext2"/>
    <w:pPr>
      <w:spacing w:line="254" w:lineRule="auto"/>
      <w:ind w:firstLine="2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50">
    <w:name w:val="Body text (5)"/>
    <w:basedOn w:val="Normal"/>
    <w:link w:val="Bodytext5"/>
    <w:rPr>
      <w:rFonts w:ascii="Tahoma" w:eastAsia="Tahoma" w:hAnsi="Tahoma" w:cs="Tahoma"/>
      <w:b/>
      <w:bCs/>
      <w:color w:val="DD374F"/>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DD374F"/>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ahoma" w:eastAsia="Tahoma" w:hAnsi="Tahoma" w:cs="Tahoma"/>
      <w:b/>
      <w:bCs/>
      <w:i w:val="0"/>
      <w:iCs w:val="0"/>
      <w:smallCaps w:val="0"/>
      <w:strike w:val="0"/>
      <w:color w:val="DD374F"/>
      <w:sz w:val="17"/>
      <w:szCs w:val="17"/>
      <w:u w:val="none"/>
      <w:shd w:val="clear" w:color="auto" w:fill="auto"/>
    </w:rPr>
  </w:style>
  <w:style w:type="paragraph" w:styleId="BodyText">
    <w:name w:val="Body Text"/>
    <w:basedOn w:val="Normal"/>
    <w:link w:val="BodyTextChar"/>
    <w:qFormat/>
    <w:pPr>
      <w:spacing w:line="252" w:lineRule="auto"/>
      <w:ind w:firstLine="400"/>
    </w:pP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Other0">
    <w:name w:val="Other"/>
    <w:basedOn w:val="Normal"/>
    <w:link w:val="Other"/>
    <w:pPr>
      <w:spacing w:line="252" w:lineRule="auto"/>
      <w:ind w:firstLine="400"/>
    </w:pPr>
    <w:rPr>
      <w:rFonts w:ascii="Times New Roman" w:eastAsia="Times New Roman" w:hAnsi="Times New Roman" w:cs="Times New Roman"/>
    </w:rPr>
  </w:style>
  <w:style w:type="paragraph" w:customStyle="1" w:styleId="Bodytext40">
    <w:name w:val="Body text (4)"/>
    <w:basedOn w:val="Normal"/>
    <w:link w:val="Bodytext4"/>
    <w:pPr>
      <w:spacing w:line="322" w:lineRule="auto"/>
      <w:jc w:val="right"/>
    </w:pPr>
    <w:rPr>
      <w:rFonts w:ascii="Arial" w:eastAsia="Arial" w:hAnsi="Arial" w:cs="Arial"/>
      <w:b/>
      <w:bCs/>
      <w:color w:val="DD374F"/>
      <w:sz w:val="18"/>
      <w:szCs w:val="18"/>
    </w:rPr>
  </w:style>
  <w:style w:type="paragraph" w:customStyle="1" w:styleId="Bodytext20">
    <w:name w:val="Body text (2)"/>
    <w:basedOn w:val="Normal"/>
    <w:link w:val="Bodytext2"/>
    <w:pPr>
      <w:spacing w:line="254" w:lineRule="auto"/>
      <w:ind w:firstLine="20"/>
    </w:pPr>
    <w:rPr>
      <w:rFonts w:ascii="Times New Roman" w:eastAsia="Times New Roman" w:hAnsi="Times New Roman" w:cs="Times New Roman"/>
    </w:rPr>
  </w:style>
  <w:style w:type="paragraph" w:customStyle="1" w:styleId="Bodytext30">
    <w:name w:val="Body text (3)"/>
    <w:basedOn w:val="Normal"/>
    <w:link w:val="Bodytext3"/>
    <w:rPr>
      <w:rFonts w:ascii="Times New Roman" w:eastAsia="Times New Roman" w:hAnsi="Times New Roman" w:cs="Times New Roman"/>
      <w:sz w:val="20"/>
      <w:szCs w:val="20"/>
    </w:rPr>
  </w:style>
  <w:style w:type="paragraph" w:customStyle="1" w:styleId="Bodytext50">
    <w:name w:val="Body text (5)"/>
    <w:basedOn w:val="Normal"/>
    <w:link w:val="Bodytext5"/>
    <w:rPr>
      <w:rFonts w:ascii="Tahoma" w:eastAsia="Tahoma" w:hAnsi="Tahoma" w:cs="Tahoma"/>
      <w:b/>
      <w:bCs/>
      <w:color w:val="DD374F"/>
      <w:sz w:val="17"/>
      <w:szCs w:val="1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ZMC7HH+zDHMWiDtCEvlyXizyaw==">CgMxLjA4AHIhMWw4TkpnZFVHMWNFc3c5MWNqQjRyTDVLbUh4d2hEUnF0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755</Words>
  <Characters>4309</Characters>
  <Application>Microsoft Office Word</Application>
  <DocSecurity>0</DocSecurity>
  <Lines>35</Lines>
  <Paragraphs>10</Paragraphs>
  <ScaleCrop>false</ScaleCrop>
  <Company>Hewlett-Packard Company</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7</cp:revision>
  <dcterms:created xsi:type="dcterms:W3CDTF">2024-07-01T05:26:00Z</dcterms:created>
  <dcterms:modified xsi:type="dcterms:W3CDTF">2024-07-03T03:16:00Z</dcterms:modified>
</cp:coreProperties>
</file>