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01146E0" w:rsidR="00D95995" w:rsidRDefault="00D5603A" w:rsidP="00797944">
      <w:pPr>
        <w:widowControl/>
        <w:pBdr>
          <w:top w:val="nil"/>
          <w:left w:val="nil"/>
          <w:bottom w:val="nil"/>
          <w:right w:val="nil"/>
          <w:between w:val="nil"/>
        </w:pBdr>
        <w:tabs>
          <w:tab w:val="left" w:pos="360"/>
        </w:tabs>
        <w:spacing w:after="120" w:line="360" w:lineRule="auto"/>
        <w:jc w:val="both"/>
        <w:rPr>
          <w:rFonts w:ascii="Arial" w:eastAsia="Arial" w:hAnsi="Arial" w:cs="Arial"/>
          <w:b/>
          <w:sz w:val="20"/>
          <w:szCs w:val="20"/>
        </w:rPr>
      </w:pPr>
      <w:r>
        <w:rPr>
          <w:rFonts w:ascii="Arial" w:hAnsi="Arial"/>
          <w:b/>
          <w:bCs/>
          <w:sz w:val="20"/>
        </w:rPr>
        <w:t>VBA122001:</w:t>
      </w:r>
      <w:r w:rsidR="00797944">
        <w:rPr>
          <w:rFonts w:ascii="Arial" w:hAnsi="Arial"/>
          <w:b/>
          <w:sz w:val="20"/>
        </w:rPr>
        <w:t xml:space="preserve"> Registration Certificate on</w:t>
      </w:r>
      <w:r>
        <w:rPr>
          <w:rFonts w:ascii="Arial" w:hAnsi="Arial"/>
          <w:b/>
          <w:sz w:val="20"/>
        </w:rPr>
        <w:t xml:space="preserve"> public offering of bonds of Vietnam Bank for Agriculture and Rural Development in 2024</w:t>
      </w:r>
    </w:p>
    <w:p w14:paraId="00000002" w14:textId="77777777" w:rsidR="00D95995" w:rsidRDefault="00D5603A" w:rsidP="00797944">
      <w:pPr>
        <w:widowControl/>
        <w:pBdr>
          <w:top w:val="nil"/>
          <w:left w:val="nil"/>
          <w:bottom w:val="nil"/>
          <w:right w:val="nil"/>
          <w:between w:val="nil"/>
        </w:pBdr>
        <w:tabs>
          <w:tab w:val="left" w:pos="360"/>
        </w:tabs>
        <w:spacing w:after="120" w:line="360" w:lineRule="auto"/>
        <w:jc w:val="both"/>
        <w:rPr>
          <w:rFonts w:ascii="Arial" w:eastAsia="Arial" w:hAnsi="Arial" w:cs="Arial"/>
          <w:sz w:val="20"/>
          <w:szCs w:val="20"/>
        </w:rPr>
      </w:pPr>
      <w:r>
        <w:rPr>
          <w:rFonts w:ascii="Arial" w:hAnsi="Arial"/>
          <w:sz w:val="20"/>
        </w:rPr>
        <w:t>On June 28, 2024, Vietnam Bank for Agriculture and Rural Development announced Official Dispatch No. 108/GCN-UBCK on the Registration Certificate for public offering of bonds as follows:</w:t>
      </w:r>
    </w:p>
    <w:p w14:paraId="00000003" w14:textId="77777777" w:rsidR="00D95995" w:rsidRDefault="00D5603A" w:rsidP="00797944">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Pr>
          <w:rFonts w:ascii="Arial" w:hAnsi="Arial"/>
          <w:sz w:val="20"/>
        </w:rPr>
        <w:t>‎‎Article 1. Issue Registration Certificate for public offering of bonds for:</w:t>
      </w:r>
    </w:p>
    <w:p w14:paraId="00000004" w14:textId="77777777" w:rsidR="00D95995" w:rsidRDefault="00D5603A" w:rsidP="00797944">
      <w:pPr>
        <w:keepNext/>
        <w:keepLines/>
        <w:pBdr>
          <w:top w:val="nil"/>
          <w:left w:val="nil"/>
          <w:bottom w:val="nil"/>
          <w:right w:val="nil"/>
          <w:between w:val="nil"/>
        </w:pBdr>
        <w:tabs>
          <w:tab w:val="left" w:pos="360"/>
        </w:tabs>
        <w:spacing w:after="120" w:line="360" w:lineRule="auto"/>
        <w:jc w:val="both"/>
        <w:rPr>
          <w:rFonts w:ascii="Arial" w:eastAsia="Arial" w:hAnsi="Arial" w:cs="Arial"/>
          <w:sz w:val="20"/>
          <w:szCs w:val="20"/>
        </w:rPr>
      </w:pPr>
      <w:r>
        <w:rPr>
          <w:rFonts w:ascii="Arial" w:hAnsi="Arial"/>
          <w:sz w:val="20"/>
        </w:rPr>
        <w:t xml:space="preserve">Vietnam Bank for Agriculture and Rural Development </w:t>
      </w:r>
    </w:p>
    <w:p w14:paraId="00000005" w14:textId="751AD3E1" w:rsidR="00D95995" w:rsidRDefault="00D5603A" w:rsidP="00797944">
      <w:pPr>
        <w:numPr>
          <w:ilvl w:val="0"/>
          <w:numId w:val="1"/>
        </w:numPr>
        <w:pBdr>
          <w:top w:val="nil"/>
          <w:left w:val="nil"/>
          <w:bottom w:val="nil"/>
          <w:right w:val="nil"/>
          <w:between w:val="nil"/>
        </w:pBdr>
        <w:tabs>
          <w:tab w:val="left" w:pos="360"/>
          <w:tab w:val="left" w:pos="891"/>
        </w:tabs>
        <w:spacing w:after="120" w:line="360" w:lineRule="auto"/>
        <w:jc w:val="both"/>
        <w:rPr>
          <w:rFonts w:ascii="Arial" w:eastAsia="Arial" w:hAnsi="Arial" w:cs="Arial"/>
          <w:sz w:val="20"/>
          <w:szCs w:val="20"/>
        </w:rPr>
      </w:pPr>
      <w:r>
        <w:rPr>
          <w:rFonts w:ascii="Arial" w:hAnsi="Arial"/>
          <w:sz w:val="20"/>
        </w:rPr>
        <w:t xml:space="preserve"> English name of the Company: VIETNAM BANK FOR </w:t>
      </w:r>
      <w:r w:rsidRPr="00D5603A">
        <w:rPr>
          <w:rFonts w:ascii="Arial" w:hAnsi="Arial"/>
          <w:sz w:val="20"/>
        </w:rPr>
        <w:t>AGRICULTURE AND RURAL DEVELOPMENT</w:t>
      </w:r>
    </w:p>
    <w:p w14:paraId="00000006" w14:textId="77777777" w:rsidR="00D95995" w:rsidRDefault="00D5603A" w:rsidP="00797944">
      <w:pPr>
        <w:numPr>
          <w:ilvl w:val="0"/>
          <w:numId w:val="1"/>
        </w:numPr>
        <w:pBdr>
          <w:top w:val="nil"/>
          <w:left w:val="nil"/>
          <w:bottom w:val="nil"/>
          <w:right w:val="nil"/>
          <w:between w:val="nil"/>
        </w:pBdr>
        <w:tabs>
          <w:tab w:val="left" w:pos="360"/>
          <w:tab w:val="left" w:pos="904"/>
        </w:tabs>
        <w:spacing w:after="120" w:line="360" w:lineRule="auto"/>
        <w:jc w:val="both"/>
        <w:rPr>
          <w:rFonts w:ascii="Arial" w:eastAsia="Arial" w:hAnsi="Arial" w:cs="Arial"/>
          <w:sz w:val="20"/>
          <w:szCs w:val="20"/>
        </w:rPr>
      </w:pPr>
      <w:r>
        <w:rPr>
          <w:rFonts w:ascii="Arial" w:hAnsi="Arial"/>
          <w:sz w:val="20"/>
        </w:rPr>
        <w:t>Abbreviated name: Agribank;</w:t>
      </w:r>
    </w:p>
    <w:p w14:paraId="00000007" w14:textId="1D3FF881" w:rsidR="00D95995" w:rsidRDefault="00D5603A" w:rsidP="00797944">
      <w:pPr>
        <w:numPr>
          <w:ilvl w:val="0"/>
          <w:numId w:val="1"/>
        </w:numPr>
        <w:pBdr>
          <w:top w:val="nil"/>
          <w:left w:val="nil"/>
          <w:bottom w:val="nil"/>
          <w:right w:val="nil"/>
          <w:between w:val="nil"/>
        </w:pBdr>
        <w:tabs>
          <w:tab w:val="left" w:pos="360"/>
          <w:tab w:val="left" w:pos="906"/>
        </w:tabs>
        <w:spacing w:after="120" w:line="360" w:lineRule="auto"/>
        <w:jc w:val="both"/>
        <w:rPr>
          <w:rFonts w:ascii="Arial" w:eastAsia="Arial" w:hAnsi="Arial" w:cs="Arial"/>
          <w:sz w:val="20"/>
          <w:szCs w:val="20"/>
        </w:rPr>
      </w:pPr>
      <w:r>
        <w:rPr>
          <w:rFonts w:ascii="Arial" w:hAnsi="Arial"/>
          <w:sz w:val="20"/>
        </w:rPr>
        <w:t>Head office: No. 02 Lang Ha</w:t>
      </w:r>
      <w:r w:rsidR="00797944">
        <w:rPr>
          <w:rFonts w:ascii="Arial" w:hAnsi="Arial"/>
          <w:sz w:val="20"/>
        </w:rPr>
        <w:t xml:space="preserve"> Street</w:t>
      </w:r>
      <w:bookmarkStart w:id="0" w:name="_GoBack"/>
      <w:bookmarkEnd w:id="0"/>
      <w:r>
        <w:rPr>
          <w:rFonts w:ascii="Arial" w:hAnsi="Arial"/>
          <w:sz w:val="20"/>
        </w:rPr>
        <w:t>, Thanh Cong Ward, Ba Dinh District, Hanoi City, Vietnam;</w:t>
      </w:r>
    </w:p>
    <w:p w14:paraId="00000008" w14:textId="77777777" w:rsidR="00D95995" w:rsidRDefault="00D5603A" w:rsidP="00797944">
      <w:pPr>
        <w:numPr>
          <w:ilvl w:val="0"/>
          <w:numId w:val="1"/>
        </w:numPr>
        <w:pBdr>
          <w:top w:val="nil"/>
          <w:left w:val="nil"/>
          <w:bottom w:val="nil"/>
          <w:right w:val="nil"/>
          <w:between w:val="nil"/>
        </w:pBdr>
        <w:tabs>
          <w:tab w:val="left" w:pos="360"/>
          <w:tab w:val="left" w:pos="910"/>
        </w:tabs>
        <w:spacing w:after="120" w:line="360" w:lineRule="auto"/>
        <w:jc w:val="both"/>
        <w:rPr>
          <w:rFonts w:ascii="Arial" w:eastAsia="Arial" w:hAnsi="Arial" w:cs="Arial"/>
          <w:sz w:val="20"/>
          <w:szCs w:val="20"/>
        </w:rPr>
      </w:pPr>
      <w:r>
        <w:rPr>
          <w:rFonts w:ascii="Arial" w:hAnsi="Arial"/>
          <w:sz w:val="20"/>
        </w:rPr>
        <w:t>Business Registration Certificate one-member limited company No. 0100686174 issued by Hanoi Authority for Planning and Investment, first registered on February 26, 2004, registered for the 15th change on January 11, 2024;</w:t>
      </w:r>
    </w:p>
    <w:p w14:paraId="00000009" w14:textId="77777777" w:rsidR="00D95995" w:rsidRDefault="00D5603A" w:rsidP="00797944">
      <w:pPr>
        <w:numPr>
          <w:ilvl w:val="0"/>
          <w:numId w:val="1"/>
        </w:numPr>
        <w:pBdr>
          <w:top w:val="nil"/>
          <w:left w:val="nil"/>
          <w:bottom w:val="nil"/>
          <w:right w:val="nil"/>
          <w:between w:val="nil"/>
        </w:pBdr>
        <w:tabs>
          <w:tab w:val="left" w:pos="360"/>
          <w:tab w:val="left" w:pos="910"/>
        </w:tabs>
        <w:spacing w:after="120" w:line="360" w:lineRule="auto"/>
        <w:jc w:val="both"/>
        <w:rPr>
          <w:rFonts w:ascii="Arial" w:eastAsia="Arial" w:hAnsi="Arial" w:cs="Arial"/>
          <w:sz w:val="20"/>
          <w:szCs w:val="20"/>
        </w:rPr>
      </w:pPr>
      <w:r>
        <w:rPr>
          <w:rFonts w:ascii="Arial" w:hAnsi="Arial"/>
          <w:sz w:val="20"/>
        </w:rPr>
        <w:t>Charter capital: VND41,268,833,001,584.</w:t>
      </w:r>
    </w:p>
    <w:p w14:paraId="0000000A" w14:textId="77777777" w:rsidR="00D95995" w:rsidRDefault="00D5603A" w:rsidP="00797944">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Pr>
          <w:rFonts w:ascii="Arial" w:hAnsi="Arial"/>
          <w:sz w:val="20"/>
        </w:rPr>
        <w:t>‎‎Article 2. Public offering of bonds of Vietnam Bank for Agriculture and Rural Development according to the the following contents:</w:t>
      </w:r>
    </w:p>
    <w:p w14:paraId="0000000B" w14:textId="77777777" w:rsidR="00D95995" w:rsidRDefault="00D5603A" w:rsidP="00797944">
      <w:pPr>
        <w:numPr>
          <w:ilvl w:val="0"/>
          <w:numId w:val="2"/>
        </w:numPr>
        <w:pBdr>
          <w:top w:val="nil"/>
          <w:left w:val="nil"/>
          <w:bottom w:val="nil"/>
          <w:right w:val="nil"/>
          <w:between w:val="nil"/>
        </w:pBdr>
        <w:tabs>
          <w:tab w:val="left" w:pos="360"/>
          <w:tab w:val="left" w:pos="949"/>
        </w:tabs>
        <w:spacing w:after="120" w:line="360" w:lineRule="auto"/>
        <w:jc w:val="both"/>
        <w:rPr>
          <w:rFonts w:ascii="Arial" w:eastAsia="Arial" w:hAnsi="Arial" w:cs="Arial"/>
          <w:sz w:val="20"/>
          <w:szCs w:val="20"/>
        </w:rPr>
      </w:pPr>
      <w:r>
        <w:rPr>
          <w:rFonts w:ascii="Arial" w:hAnsi="Arial"/>
          <w:sz w:val="20"/>
        </w:rPr>
        <w:t>Securities type: Non-convertible bonds, not guaranteed by assets of Vietnam Bank for Agriculture and Rural Development without warrants, satisfy the conditions to be included in tier 2 capital according to the current provisions of law;</w:t>
      </w:r>
    </w:p>
    <w:p w14:paraId="0000000C" w14:textId="77777777" w:rsidR="00D95995" w:rsidRDefault="00D5603A" w:rsidP="00797944">
      <w:pPr>
        <w:numPr>
          <w:ilvl w:val="0"/>
          <w:numId w:val="2"/>
        </w:numPr>
        <w:pBdr>
          <w:top w:val="nil"/>
          <w:left w:val="nil"/>
          <w:bottom w:val="nil"/>
          <w:right w:val="nil"/>
          <w:between w:val="nil"/>
        </w:pBdr>
        <w:tabs>
          <w:tab w:val="left" w:pos="360"/>
          <w:tab w:val="left" w:pos="978"/>
        </w:tabs>
        <w:spacing w:after="120" w:line="360" w:lineRule="auto"/>
        <w:jc w:val="both"/>
        <w:rPr>
          <w:rFonts w:ascii="Arial" w:eastAsia="Arial" w:hAnsi="Arial" w:cs="Arial"/>
          <w:sz w:val="20"/>
          <w:szCs w:val="20"/>
        </w:rPr>
      </w:pPr>
      <w:r>
        <w:rPr>
          <w:rFonts w:ascii="Arial" w:hAnsi="Arial"/>
          <w:sz w:val="20"/>
        </w:rPr>
        <w:t>Bond par value: VND100,000/bond</w:t>
      </w:r>
    </w:p>
    <w:p w14:paraId="0000000D" w14:textId="77777777" w:rsidR="00D95995" w:rsidRDefault="00D5603A" w:rsidP="00797944">
      <w:pPr>
        <w:numPr>
          <w:ilvl w:val="0"/>
          <w:numId w:val="2"/>
        </w:numPr>
        <w:pBdr>
          <w:top w:val="nil"/>
          <w:left w:val="nil"/>
          <w:bottom w:val="nil"/>
          <w:right w:val="nil"/>
          <w:between w:val="nil"/>
        </w:pBdr>
        <w:tabs>
          <w:tab w:val="left" w:pos="360"/>
          <w:tab w:val="left" w:pos="942"/>
        </w:tabs>
        <w:spacing w:after="120" w:line="360" w:lineRule="auto"/>
        <w:jc w:val="both"/>
        <w:rPr>
          <w:rFonts w:ascii="Arial" w:eastAsia="Arial" w:hAnsi="Arial" w:cs="Arial"/>
          <w:sz w:val="20"/>
          <w:szCs w:val="20"/>
        </w:rPr>
      </w:pPr>
      <w:r>
        <w:rPr>
          <w:rFonts w:ascii="Arial" w:hAnsi="Arial"/>
          <w:sz w:val="20"/>
        </w:rPr>
        <w:t xml:space="preserve">Total number of bonds registered to be offered: 100,000,000 bonds </w:t>
      </w:r>
    </w:p>
    <w:p w14:paraId="0000000E" w14:textId="77777777" w:rsidR="00D95995" w:rsidRDefault="00D5603A" w:rsidP="00797944">
      <w:pPr>
        <w:numPr>
          <w:ilvl w:val="0"/>
          <w:numId w:val="2"/>
        </w:numPr>
        <w:pBdr>
          <w:top w:val="nil"/>
          <w:left w:val="nil"/>
          <w:bottom w:val="nil"/>
          <w:right w:val="nil"/>
          <w:between w:val="nil"/>
        </w:pBdr>
        <w:tabs>
          <w:tab w:val="left" w:pos="360"/>
          <w:tab w:val="left" w:pos="927"/>
        </w:tabs>
        <w:spacing w:after="120" w:line="360" w:lineRule="auto"/>
        <w:jc w:val="both"/>
        <w:rPr>
          <w:rFonts w:ascii="Arial" w:eastAsia="Arial" w:hAnsi="Arial" w:cs="Arial"/>
          <w:sz w:val="20"/>
          <w:szCs w:val="20"/>
        </w:rPr>
      </w:pPr>
      <w:r>
        <w:rPr>
          <w:rFonts w:ascii="Arial" w:hAnsi="Arial"/>
          <w:sz w:val="20"/>
        </w:rPr>
        <w:t xml:space="preserve">Total value of bonds registered to be offered at par value: VND10,000,000,000,000 </w:t>
      </w:r>
    </w:p>
    <w:p w14:paraId="0000000F" w14:textId="77777777" w:rsidR="00D95995" w:rsidRDefault="00D5603A" w:rsidP="00797944">
      <w:pPr>
        <w:numPr>
          <w:ilvl w:val="0"/>
          <w:numId w:val="2"/>
        </w:numPr>
        <w:pBdr>
          <w:top w:val="nil"/>
          <w:left w:val="nil"/>
          <w:bottom w:val="nil"/>
          <w:right w:val="nil"/>
          <w:between w:val="nil"/>
        </w:pBdr>
        <w:tabs>
          <w:tab w:val="left" w:pos="360"/>
          <w:tab w:val="left" w:pos="927"/>
        </w:tabs>
        <w:spacing w:after="120" w:line="360" w:lineRule="auto"/>
        <w:jc w:val="both"/>
        <w:rPr>
          <w:rFonts w:ascii="Arial" w:eastAsia="Arial" w:hAnsi="Arial" w:cs="Arial"/>
          <w:sz w:val="20"/>
          <w:szCs w:val="20"/>
        </w:rPr>
      </w:pPr>
      <w:r>
        <w:rPr>
          <w:rFonts w:ascii="Arial" w:hAnsi="Arial"/>
          <w:sz w:val="20"/>
        </w:rPr>
        <w:t>Distribution time: Within 90 days from the effective date of the Registration Certificate for public offering of bonds;</w:t>
      </w:r>
      <w:r>
        <w:rPr>
          <w:rFonts w:ascii="Arial" w:hAnsi="Arial"/>
          <w:sz w:val="20"/>
        </w:rPr>
        <w:tab/>
      </w:r>
    </w:p>
    <w:p w14:paraId="00000010" w14:textId="77777777" w:rsidR="00D95995" w:rsidRDefault="00D5603A" w:rsidP="00797944">
      <w:pPr>
        <w:numPr>
          <w:ilvl w:val="0"/>
          <w:numId w:val="2"/>
        </w:numPr>
        <w:pBdr>
          <w:top w:val="nil"/>
          <w:left w:val="nil"/>
          <w:bottom w:val="nil"/>
          <w:right w:val="nil"/>
          <w:between w:val="nil"/>
        </w:pBdr>
        <w:tabs>
          <w:tab w:val="left" w:pos="360"/>
          <w:tab w:val="left" w:pos="927"/>
        </w:tabs>
        <w:spacing w:after="120" w:line="360" w:lineRule="auto"/>
        <w:jc w:val="both"/>
        <w:rPr>
          <w:rFonts w:ascii="Arial" w:eastAsia="Arial" w:hAnsi="Arial" w:cs="Arial"/>
          <w:sz w:val="20"/>
          <w:szCs w:val="20"/>
        </w:rPr>
      </w:pPr>
      <w:r>
        <w:rPr>
          <w:rFonts w:ascii="Arial" w:hAnsi="Arial"/>
          <w:sz w:val="20"/>
        </w:rPr>
        <w:t>Distribution method: According to the plan stated in the Prospectus;</w:t>
      </w:r>
    </w:p>
    <w:p w14:paraId="00000011" w14:textId="77777777" w:rsidR="00D95995" w:rsidRDefault="00D5603A" w:rsidP="00797944">
      <w:pPr>
        <w:numPr>
          <w:ilvl w:val="0"/>
          <w:numId w:val="2"/>
        </w:numPr>
        <w:pBdr>
          <w:top w:val="nil"/>
          <w:left w:val="nil"/>
          <w:bottom w:val="nil"/>
          <w:right w:val="nil"/>
          <w:between w:val="nil"/>
        </w:pBdr>
        <w:tabs>
          <w:tab w:val="left" w:pos="360"/>
          <w:tab w:val="left" w:pos="927"/>
        </w:tabs>
        <w:spacing w:after="120" w:line="360" w:lineRule="auto"/>
        <w:jc w:val="both"/>
        <w:rPr>
          <w:rFonts w:ascii="Arial" w:eastAsia="Arial" w:hAnsi="Arial" w:cs="Arial"/>
          <w:sz w:val="20"/>
          <w:szCs w:val="20"/>
        </w:rPr>
      </w:pPr>
      <w:r>
        <w:rPr>
          <w:rFonts w:ascii="Arial" w:hAnsi="Arial"/>
          <w:sz w:val="20"/>
        </w:rPr>
        <w:t>issuance consulting organization: Agribank Securities Corporation</w:t>
      </w:r>
    </w:p>
    <w:p w14:paraId="00000012" w14:textId="77777777" w:rsidR="00D95995" w:rsidRDefault="00D5603A" w:rsidP="00797944">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Pr>
          <w:rFonts w:ascii="Arial" w:hAnsi="Arial"/>
          <w:sz w:val="20"/>
        </w:rPr>
        <w:t>‎‎Article 3. Vietnam Bank for Agriculture and Rural Development, organizations and individuals participating in the documentation process must comply with Vietnamese law, regulations on securities, stock markets and the content in the Certificate, at the same time, are responsible before the law for the accuracy, truthfulness, and completeness of the dossier.</w:t>
      </w:r>
    </w:p>
    <w:p w14:paraId="00000013" w14:textId="77777777" w:rsidR="00D95995" w:rsidRDefault="00D5603A" w:rsidP="00797944">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Pr>
          <w:rFonts w:ascii="Arial" w:hAnsi="Arial"/>
          <w:sz w:val="20"/>
        </w:rPr>
        <w:t>‎‎Article 4. This Certificate takes effect from the date of its signing.</w:t>
      </w:r>
    </w:p>
    <w:p w14:paraId="00000014" w14:textId="77777777" w:rsidR="00D95995" w:rsidRDefault="00D5603A" w:rsidP="00797944">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Pr>
          <w:rFonts w:ascii="Arial" w:hAnsi="Arial"/>
          <w:sz w:val="20"/>
        </w:rPr>
        <w:t>‎‎Article 5. This Certificate is prepared in five originals: 01 copy issued to Vietnam Bank for Agriculture and Rural Development, 02 copies kept at the State Securities Commission, 01 copy sent to Hanoi Stock Exchange and 01 copy sent to Vietnam Securities Depository and Clearing Corporation./.</w:t>
      </w:r>
    </w:p>
    <w:sectPr w:rsidR="00D95995">
      <w:pgSz w:w="11906" w:h="16838"/>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Aptos Display">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580A"/>
    <w:multiLevelType w:val="multilevel"/>
    <w:tmpl w:val="6450BCB0"/>
    <w:lvl w:ilvl="0">
      <w:start w:val="1"/>
      <w:numFmt w:val="bullet"/>
      <w:lvlText w:val="-"/>
      <w:lvlJc w:val="left"/>
      <w:pPr>
        <w:ind w:left="0" w:firstLine="0"/>
      </w:pPr>
      <w:rPr>
        <w:rFonts w:ascii="Arial" w:eastAsia="Arial" w:hAnsi="Arial" w:cs="Arial"/>
        <w:b w:val="0"/>
        <w:i w:val="0"/>
        <w:smallCaps w:val="0"/>
        <w:strike w:val="0"/>
        <w:color w:val="333734"/>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04313A1"/>
    <w:multiLevelType w:val="multilevel"/>
    <w:tmpl w:val="57A235E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995"/>
    <w:rsid w:val="00797944"/>
    <w:rsid w:val="00D5603A"/>
    <w:rsid w:val="00D95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2A92D"/>
  <w15:docId w15:val="{8AFFCDC8-E9DD-4A1D-A227-F9369632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575F5C"/>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1"/>
      <w:szCs w:val="11"/>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color w:val="575F5C"/>
      <w:sz w:val="22"/>
      <w:szCs w:val="22"/>
      <w:u w:val="none"/>
      <w:shd w:val="clear" w:color="auto" w:fill="auto"/>
    </w:rPr>
  </w:style>
  <w:style w:type="paragraph" w:styleId="BodyText">
    <w:name w:val="Body Text"/>
    <w:basedOn w:val="Normal"/>
    <w:link w:val="BodyTextChar"/>
    <w:qFormat/>
    <w:pPr>
      <w:spacing w:line="254" w:lineRule="auto"/>
      <w:ind w:firstLine="400"/>
    </w:pPr>
    <w:rPr>
      <w:rFonts w:ascii="Times New Roman" w:eastAsia="Times New Roman" w:hAnsi="Times New Roman" w:cs="Times New Roman"/>
      <w:sz w:val="28"/>
      <w:szCs w:val="28"/>
    </w:rPr>
  </w:style>
  <w:style w:type="paragraph" w:customStyle="1" w:styleId="Heading11">
    <w:name w:val="Heading #1"/>
    <w:basedOn w:val="Normal"/>
    <w:link w:val="Heading10"/>
    <w:pPr>
      <w:spacing w:line="329" w:lineRule="auto"/>
      <w:jc w:val="center"/>
      <w:outlineLvl w:val="0"/>
    </w:pPr>
    <w:rPr>
      <w:rFonts w:ascii="Times New Roman" w:eastAsia="Times New Roman" w:hAnsi="Times New Roman" w:cs="Times New Roman"/>
      <w:b/>
      <w:bCs/>
      <w:color w:val="575F5C"/>
      <w:sz w:val="22"/>
      <w:szCs w:val="22"/>
    </w:rPr>
  </w:style>
  <w:style w:type="paragraph" w:customStyle="1" w:styleId="Bodytext20">
    <w:name w:val="Body text (2)"/>
    <w:basedOn w:val="Normal"/>
    <w:link w:val="Bodytext2"/>
    <w:pPr>
      <w:spacing w:line="211" w:lineRule="auto"/>
      <w:ind w:left="930" w:firstLine="20"/>
    </w:pPr>
    <w:rPr>
      <w:rFonts w:ascii="Arial" w:eastAsia="Arial" w:hAnsi="Arial" w:cs="Arial"/>
      <w:sz w:val="11"/>
      <w:szCs w:val="11"/>
    </w:rPr>
  </w:style>
  <w:style w:type="paragraph" w:customStyle="1" w:styleId="Bodytext40">
    <w:name w:val="Body text (4)"/>
    <w:basedOn w:val="Normal"/>
    <w:link w:val="Bodytext4"/>
    <w:pPr>
      <w:jc w:val="center"/>
    </w:pPr>
    <w:rPr>
      <w:rFonts w:ascii="Arial" w:eastAsia="Arial" w:hAnsi="Arial" w:cs="Arial"/>
    </w:rPr>
  </w:style>
  <w:style w:type="paragraph" w:customStyle="1" w:styleId="Bodytext30">
    <w:name w:val="Body text (3)"/>
    <w:basedOn w:val="Normal"/>
    <w:link w:val="Bodytext3"/>
    <w:pPr>
      <w:ind w:left="-10" w:firstLine="170"/>
      <w:jc w:val="center"/>
    </w:pPr>
    <w:rPr>
      <w:rFonts w:ascii="Times New Roman" w:eastAsia="Times New Roman" w:hAnsi="Times New Roman" w:cs="Times New Roman"/>
      <w:b/>
      <w:bCs/>
      <w:color w:val="575F5C"/>
      <w:sz w:val="22"/>
      <w:szCs w:val="22"/>
    </w:rPr>
  </w:style>
  <w:style w:type="paragraph" w:styleId="NormalWeb">
    <w:name w:val="Normal (Web)"/>
    <w:basedOn w:val="Normal"/>
    <w:uiPriority w:val="99"/>
    <w:unhideWhenUsed/>
    <w:rsid w:val="00420305"/>
    <w:pPr>
      <w:widowControl/>
      <w:spacing w:before="100" w:beforeAutospacing="1" w:after="100" w:afterAutospacing="1"/>
    </w:pPr>
    <w:rPr>
      <w:rFonts w:ascii="Times New Roman" w:eastAsia="Times New Roman" w:hAnsi="Times New Roman" w:cs="Times New Roman"/>
      <w:color w:val="auto"/>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emXtQJIFW1GuRYdyOkzGuADZnQ==">CgMxLjA4AHIhMUFxTnpYM2VodkFqNGR0N3FEdFF5eW85Z0IzMHJqTEly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2024-07-03T03:32:00Z</dcterms:created>
  <dcterms:modified xsi:type="dcterms:W3CDTF">2024-07-03T03:32:00Z</dcterms:modified>
</cp:coreProperties>
</file>