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05E7B" w14:textId="77777777" w:rsidR="00A14E09" w:rsidRDefault="00A613FB">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Pr>
          <w:rFonts w:ascii="Arial" w:hAnsi="Arial"/>
          <w:b/>
          <w:color w:val="010000"/>
          <w:sz w:val="20"/>
        </w:rPr>
        <w:t>VBB: Board Resolution</w:t>
      </w:r>
    </w:p>
    <w:p w14:paraId="7735539F" w14:textId="77777777" w:rsidR="00A14E09" w:rsidRDefault="00A613F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June 27, 2024, Viet Nam Thuong Tin Commercial Joint Stock Bank announced Resolution No. 88/2024/NQ-HDQT as follows:</w:t>
      </w:r>
    </w:p>
    <w:p w14:paraId="53D5EAC7" w14:textId="531DC810" w:rsidR="00A14E09" w:rsidRDefault="00A613F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‎‎Article 1. Approve the continued application of debt collection processing remuneration for Vietbank Asset Management Company according</w:t>
      </w:r>
      <w:r>
        <w:rPr>
          <w:rFonts w:ascii="Arial" w:hAnsi="Arial"/>
          <w:color w:val="010000"/>
          <w:sz w:val="20"/>
        </w:rPr>
        <w:t xml:space="preserve"> to</w:t>
      </w:r>
      <w:r w:rsidR="00204D99">
        <w:rPr>
          <w:rFonts w:ascii="Arial" w:hAnsi="Arial"/>
          <w:color w:val="010000"/>
          <w:sz w:val="20"/>
        </w:rPr>
        <w:t xml:space="preserve"> </w:t>
      </w:r>
      <w:r w:rsidR="001A0399">
        <w:rPr>
          <w:rFonts w:ascii="Arial" w:hAnsi="Arial"/>
          <w:color w:val="010000"/>
          <w:sz w:val="20"/>
        </w:rPr>
        <w:t xml:space="preserve">Board </w:t>
      </w:r>
      <w:r>
        <w:rPr>
          <w:rFonts w:ascii="Arial" w:hAnsi="Arial"/>
          <w:color w:val="010000"/>
          <w:sz w:val="20"/>
        </w:rPr>
        <w:t>Resolution No. 144/2023/NQ -HDQT dated October 4, 2023 according to the proposal of the General Manager in Proposal No. 316/2024/TT-TGD dated June 20, 2024 of the General Manager, specifically as follows:</w:t>
      </w:r>
    </w:p>
    <w:p w14:paraId="509CC369" w14:textId="785E2FD6" w:rsidR="00A14E09" w:rsidRDefault="00A613FB">
      <w:pPr>
        <w:numPr>
          <w:ilvl w:val="0"/>
          <w:numId w:val="1"/>
        </w:numPr>
        <w:pBdr>
          <w:top w:val="nil"/>
          <w:left w:val="nil"/>
          <w:bottom w:val="nil"/>
          <w:right w:val="nil"/>
          <w:between w:val="nil"/>
        </w:pBdr>
        <w:tabs>
          <w:tab w:val="left" w:pos="432"/>
          <w:tab w:val="left" w:pos="830"/>
        </w:tabs>
        <w:spacing w:after="120" w:line="360" w:lineRule="auto"/>
        <w:rPr>
          <w:rFonts w:ascii="Arial" w:eastAsia="Arial" w:hAnsi="Arial" w:cs="Arial"/>
          <w:color w:val="010000"/>
          <w:sz w:val="20"/>
          <w:szCs w:val="20"/>
        </w:rPr>
      </w:pPr>
      <w:r>
        <w:rPr>
          <w:rFonts w:ascii="Arial" w:hAnsi="Arial"/>
          <w:color w:val="010000"/>
          <w:sz w:val="20"/>
        </w:rPr>
        <w:t xml:space="preserve">Continue to apply the remuneration in </w:t>
      </w:r>
      <w:r w:rsidR="00204D99">
        <w:rPr>
          <w:rFonts w:ascii="Arial" w:hAnsi="Arial"/>
          <w:color w:val="010000"/>
          <w:sz w:val="20"/>
        </w:rPr>
        <w:t xml:space="preserve">Board </w:t>
      </w:r>
      <w:r>
        <w:rPr>
          <w:rFonts w:ascii="Arial" w:hAnsi="Arial"/>
          <w:color w:val="010000"/>
          <w:sz w:val="20"/>
        </w:rPr>
        <w:t>Resolutio</w:t>
      </w:r>
      <w:r>
        <w:rPr>
          <w:rFonts w:ascii="Arial" w:hAnsi="Arial"/>
          <w:color w:val="010000"/>
          <w:sz w:val="20"/>
        </w:rPr>
        <w:t xml:space="preserve">n No. 144/2023/NQ-HDQT </w:t>
      </w:r>
      <w:r>
        <w:rPr>
          <w:rFonts w:ascii="Arial" w:hAnsi="Arial"/>
          <w:color w:val="010000"/>
          <w:sz w:val="20"/>
        </w:rPr>
        <w:t xml:space="preserve">for Vietbank Asset Management Company in the process of debt recovery of bad debts (according to the Authorization Contracts signed between Viet Nam Thuong Tin Commercial Joint Stock Bank and Vietbank Asset </w:t>
      </w:r>
      <w:r>
        <w:rPr>
          <w:rFonts w:ascii="Arial" w:hAnsi="Arial"/>
          <w:color w:val="010000"/>
          <w:sz w:val="20"/>
        </w:rPr>
        <w:t>Management Company), specifically:</w:t>
      </w:r>
    </w:p>
    <w:p w14:paraId="29017B4C" w14:textId="77777777" w:rsidR="00A14E09" w:rsidRDefault="00A613FB">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Applicable remuneration:</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94"/>
        <w:gridCol w:w="4123"/>
      </w:tblGrid>
      <w:tr w:rsidR="00A14E09" w14:paraId="59FD1340" w14:textId="77777777">
        <w:tc>
          <w:tcPr>
            <w:tcW w:w="4894" w:type="dxa"/>
            <w:shd w:val="clear" w:color="auto" w:fill="auto"/>
            <w:tcMar>
              <w:top w:w="0" w:type="dxa"/>
              <w:bottom w:w="0" w:type="dxa"/>
            </w:tcMar>
            <w:vAlign w:val="center"/>
          </w:tcPr>
          <w:p w14:paraId="38E3D885" w14:textId="77777777" w:rsidR="00A14E09" w:rsidRDefault="00A613F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Item</w:t>
            </w:r>
          </w:p>
        </w:tc>
        <w:tc>
          <w:tcPr>
            <w:tcW w:w="4123" w:type="dxa"/>
            <w:shd w:val="clear" w:color="auto" w:fill="auto"/>
            <w:tcMar>
              <w:top w:w="0" w:type="dxa"/>
              <w:bottom w:w="0" w:type="dxa"/>
            </w:tcMar>
            <w:vAlign w:val="center"/>
          </w:tcPr>
          <w:p w14:paraId="17F62BDA" w14:textId="77777777" w:rsidR="00A14E09" w:rsidRDefault="00A613F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Average (%)</w:t>
            </w:r>
          </w:p>
        </w:tc>
      </w:tr>
      <w:tr w:rsidR="00A14E09" w14:paraId="18EACA5C" w14:textId="77777777">
        <w:tc>
          <w:tcPr>
            <w:tcW w:w="4894" w:type="dxa"/>
            <w:shd w:val="clear" w:color="auto" w:fill="auto"/>
            <w:tcMar>
              <w:top w:w="0" w:type="dxa"/>
              <w:bottom w:w="0" w:type="dxa"/>
            </w:tcMar>
            <w:vAlign w:val="center"/>
          </w:tcPr>
          <w:p w14:paraId="5CD85BE9" w14:textId="77777777" w:rsidR="00A14E09" w:rsidRDefault="00A613F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Principal collection</w:t>
            </w:r>
          </w:p>
        </w:tc>
        <w:tc>
          <w:tcPr>
            <w:tcW w:w="4123" w:type="dxa"/>
            <w:shd w:val="clear" w:color="auto" w:fill="auto"/>
            <w:tcMar>
              <w:top w:w="0" w:type="dxa"/>
              <w:bottom w:w="0" w:type="dxa"/>
            </w:tcMar>
            <w:vAlign w:val="center"/>
          </w:tcPr>
          <w:p w14:paraId="734AD56E" w14:textId="77777777" w:rsidR="00A14E09" w:rsidRDefault="00A613F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w:t>
            </w:r>
          </w:p>
        </w:tc>
      </w:tr>
      <w:tr w:rsidR="00A14E09" w14:paraId="5557BA87" w14:textId="77777777">
        <w:tc>
          <w:tcPr>
            <w:tcW w:w="4894" w:type="dxa"/>
            <w:shd w:val="clear" w:color="auto" w:fill="auto"/>
            <w:tcMar>
              <w:top w:w="0" w:type="dxa"/>
              <w:bottom w:w="0" w:type="dxa"/>
            </w:tcMar>
            <w:vAlign w:val="center"/>
          </w:tcPr>
          <w:p w14:paraId="0261E665" w14:textId="77777777" w:rsidR="00A14E09" w:rsidRDefault="00A613F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Interest collection within grace period</w:t>
            </w:r>
          </w:p>
        </w:tc>
        <w:tc>
          <w:tcPr>
            <w:tcW w:w="4123" w:type="dxa"/>
            <w:shd w:val="clear" w:color="auto" w:fill="auto"/>
            <w:tcMar>
              <w:top w:w="0" w:type="dxa"/>
              <w:bottom w:w="0" w:type="dxa"/>
            </w:tcMar>
            <w:vAlign w:val="center"/>
          </w:tcPr>
          <w:p w14:paraId="00D0624C" w14:textId="77777777" w:rsidR="00A14E09" w:rsidRDefault="00A613F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w:t>
            </w:r>
          </w:p>
        </w:tc>
      </w:tr>
      <w:tr w:rsidR="00A14E09" w14:paraId="55C29A34" w14:textId="77777777">
        <w:tc>
          <w:tcPr>
            <w:tcW w:w="4894" w:type="dxa"/>
            <w:shd w:val="clear" w:color="auto" w:fill="auto"/>
            <w:tcMar>
              <w:top w:w="0" w:type="dxa"/>
              <w:bottom w:w="0" w:type="dxa"/>
            </w:tcMar>
            <w:vAlign w:val="center"/>
          </w:tcPr>
          <w:p w14:paraId="219BB15E" w14:textId="77777777" w:rsidR="00A14E09" w:rsidRDefault="00A613F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Overdue interest collection</w:t>
            </w:r>
          </w:p>
        </w:tc>
        <w:tc>
          <w:tcPr>
            <w:tcW w:w="4123" w:type="dxa"/>
            <w:shd w:val="clear" w:color="auto" w:fill="auto"/>
            <w:tcMar>
              <w:top w:w="0" w:type="dxa"/>
              <w:bottom w:w="0" w:type="dxa"/>
            </w:tcMar>
            <w:vAlign w:val="center"/>
          </w:tcPr>
          <w:p w14:paraId="6CF03232" w14:textId="77777777" w:rsidR="00A14E09" w:rsidRDefault="00A613F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w:t>
            </w:r>
          </w:p>
        </w:tc>
      </w:tr>
      <w:tr w:rsidR="00A14E09" w14:paraId="313392E5" w14:textId="77777777">
        <w:tc>
          <w:tcPr>
            <w:tcW w:w="4894" w:type="dxa"/>
            <w:shd w:val="clear" w:color="auto" w:fill="auto"/>
            <w:tcMar>
              <w:top w:w="0" w:type="dxa"/>
              <w:bottom w:w="0" w:type="dxa"/>
            </w:tcMar>
            <w:vAlign w:val="center"/>
          </w:tcPr>
          <w:p w14:paraId="25A2A86A" w14:textId="77777777" w:rsidR="00A14E09" w:rsidRDefault="00A613F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Provision recovery</w:t>
            </w:r>
          </w:p>
        </w:tc>
        <w:tc>
          <w:tcPr>
            <w:tcW w:w="4123" w:type="dxa"/>
            <w:shd w:val="clear" w:color="auto" w:fill="auto"/>
            <w:tcMar>
              <w:top w:w="0" w:type="dxa"/>
              <w:bottom w:w="0" w:type="dxa"/>
            </w:tcMar>
            <w:vAlign w:val="center"/>
          </w:tcPr>
          <w:p w14:paraId="6C23B715" w14:textId="77777777" w:rsidR="00A14E09" w:rsidRDefault="00A613F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w:t>
            </w:r>
          </w:p>
        </w:tc>
      </w:tr>
      <w:tr w:rsidR="00A14E09" w14:paraId="3638EBF0" w14:textId="77777777">
        <w:tc>
          <w:tcPr>
            <w:tcW w:w="4894" w:type="dxa"/>
            <w:shd w:val="clear" w:color="auto" w:fill="auto"/>
            <w:tcMar>
              <w:top w:w="0" w:type="dxa"/>
              <w:bottom w:w="0" w:type="dxa"/>
            </w:tcMar>
            <w:vAlign w:val="center"/>
          </w:tcPr>
          <w:p w14:paraId="2297352F" w14:textId="77777777" w:rsidR="00A14E09" w:rsidRDefault="00A613F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Other collections (unsecured/irregular income/off-balance sheet debt collection)</w:t>
            </w:r>
          </w:p>
        </w:tc>
        <w:tc>
          <w:tcPr>
            <w:tcW w:w="4123" w:type="dxa"/>
            <w:shd w:val="clear" w:color="auto" w:fill="auto"/>
            <w:tcMar>
              <w:top w:w="0" w:type="dxa"/>
              <w:bottom w:w="0" w:type="dxa"/>
            </w:tcMar>
            <w:vAlign w:val="center"/>
          </w:tcPr>
          <w:p w14:paraId="1DE00552" w14:textId="77777777" w:rsidR="00A14E09" w:rsidRDefault="00A613F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50</w:t>
            </w:r>
          </w:p>
        </w:tc>
      </w:tr>
    </w:tbl>
    <w:p w14:paraId="40C0252A" w14:textId="77777777" w:rsidR="00A14E09" w:rsidRDefault="00A613FB">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Applicable time: From April 01, 2024 to December 31, 2024.</w:t>
      </w:r>
    </w:p>
    <w:p w14:paraId="265E80F8" w14:textId="77777777" w:rsidR="00A14E09" w:rsidRDefault="00A613FB">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Assign Vietbank Asset Management Company to coordinate with Debt Management Center, Accounting Department - Finance Division and related units to implement according to regulations.</w:t>
      </w:r>
    </w:p>
    <w:p w14:paraId="1286733A" w14:textId="77777777" w:rsidR="00A14E09" w:rsidRDefault="00A613FB">
      <w:pPr>
        <w:numPr>
          <w:ilvl w:val="0"/>
          <w:numId w:val="1"/>
        </w:numPr>
        <w:pBdr>
          <w:top w:val="nil"/>
          <w:left w:val="nil"/>
          <w:bottom w:val="nil"/>
          <w:right w:val="nil"/>
          <w:between w:val="nil"/>
        </w:pBdr>
        <w:tabs>
          <w:tab w:val="left" w:pos="432"/>
          <w:tab w:val="left" w:pos="757"/>
        </w:tabs>
        <w:spacing w:after="120" w:line="360" w:lineRule="auto"/>
        <w:rPr>
          <w:rFonts w:ascii="Arial" w:eastAsia="Arial" w:hAnsi="Arial" w:cs="Arial"/>
          <w:color w:val="010000"/>
          <w:sz w:val="20"/>
          <w:szCs w:val="20"/>
        </w:rPr>
      </w:pPr>
      <w:r>
        <w:rPr>
          <w:rFonts w:ascii="Arial" w:hAnsi="Arial"/>
          <w:color w:val="010000"/>
          <w:sz w:val="20"/>
        </w:rPr>
        <w:t>Assign the General Manager to direct relevant Division(s)/Center(s)/Depart</w:t>
      </w:r>
      <w:r>
        <w:rPr>
          <w:rFonts w:ascii="Arial" w:hAnsi="Arial"/>
          <w:color w:val="010000"/>
          <w:sz w:val="20"/>
        </w:rPr>
        <w:t>ment(s) to properly implement procedures related to the information disclosure according to regulations.</w:t>
      </w:r>
    </w:p>
    <w:p w14:paraId="4AFF3656" w14:textId="77777777" w:rsidR="00A14E09" w:rsidRDefault="00A613FB">
      <w:pPr>
        <w:numPr>
          <w:ilvl w:val="0"/>
          <w:numId w:val="1"/>
        </w:numPr>
        <w:pBdr>
          <w:top w:val="nil"/>
          <w:left w:val="nil"/>
          <w:bottom w:val="nil"/>
          <w:right w:val="nil"/>
          <w:between w:val="nil"/>
        </w:pBdr>
        <w:tabs>
          <w:tab w:val="left" w:pos="432"/>
          <w:tab w:val="left" w:pos="753"/>
        </w:tabs>
        <w:spacing w:after="120" w:line="360" w:lineRule="auto"/>
        <w:rPr>
          <w:rFonts w:ascii="Arial" w:eastAsia="Arial" w:hAnsi="Arial" w:cs="Arial"/>
          <w:color w:val="010000"/>
          <w:sz w:val="20"/>
          <w:szCs w:val="20"/>
        </w:rPr>
      </w:pPr>
      <w:r>
        <w:rPr>
          <w:rFonts w:ascii="Arial" w:hAnsi="Arial"/>
          <w:color w:val="010000"/>
          <w:sz w:val="20"/>
        </w:rPr>
        <w:t>Assign the Chair of the Board of Directors to direct the implementation of the contents approved above by the Board of Directors in accordance with the</w:t>
      </w:r>
      <w:r>
        <w:rPr>
          <w:rFonts w:ascii="Arial" w:hAnsi="Arial"/>
          <w:color w:val="010000"/>
          <w:sz w:val="20"/>
        </w:rPr>
        <w:t xml:space="preserve"> law, the State Bank of Vietnam and the Charter when implementing.</w:t>
      </w:r>
    </w:p>
    <w:p w14:paraId="3BD458E9" w14:textId="5FE14F85" w:rsidR="00A14E09" w:rsidRDefault="00A613F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‎‎Article 2. This</w:t>
      </w:r>
      <w:r w:rsidR="000B7BE6">
        <w:rPr>
          <w:rFonts w:ascii="Arial" w:hAnsi="Arial"/>
          <w:color w:val="010000"/>
          <w:sz w:val="20"/>
        </w:rPr>
        <w:t xml:space="preserve"> Board</w:t>
      </w:r>
      <w:r>
        <w:rPr>
          <w:rFonts w:ascii="Arial" w:hAnsi="Arial"/>
          <w:color w:val="010000"/>
          <w:sz w:val="20"/>
        </w:rPr>
        <w:t xml:space="preserve"> Resolution takes effect from June 27, 2024.</w:t>
      </w:r>
    </w:p>
    <w:p w14:paraId="5C63AA0D" w14:textId="2297D4A3" w:rsidR="00A14E09" w:rsidRDefault="00A613F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‎‎Article 3. </w:t>
      </w:r>
      <w:r>
        <w:rPr>
          <w:rFonts w:ascii="Arial" w:hAnsi="Arial"/>
          <w:color w:val="010000"/>
          <w:sz w:val="20"/>
        </w:rPr>
        <w:t>Members of the Board of Directors, the Board of Management, the Chief Accountant, the Board of Directors Office, Blocks/Centers/Departments/Head Office and other units in the entire Viet Nam Thuong Tin Commercial Joint Stock Bank system are responsible for</w:t>
      </w:r>
      <w:r>
        <w:rPr>
          <w:rFonts w:ascii="Arial" w:hAnsi="Arial"/>
          <w:color w:val="010000"/>
          <w:sz w:val="20"/>
        </w:rPr>
        <w:t xml:space="preserve"> the implementation this Board </w:t>
      </w:r>
      <w:r>
        <w:rPr>
          <w:rFonts w:ascii="Arial" w:hAnsi="Arial"/>
          <w:color w:val="010000"/>
          <w:sz w:val="20"/>
        </w:rPr>
        <w:t>Resolution.</w:t>
      </w:r>
    </w:p>
    <w:sectPr w:rsidR="00A14E09">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5B69"/>
    <w:multiLevelType w:val="multilevel"/>
    <w:tmpl w:val="44CCB492"/>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CE92C0C"/>
    <w:multiLevelType w:val="multilevel"/>
    <w:tmpl w:val="FF1A2C26"/>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E09"/>
    <w:rsid w:val="000B7BE6"/>
    <w:rsid w:val="001A0399"/>
    <w:rsid w:val="00204D99"/>
    <w:rsid w:val="00A14E09"/>
    <w:rsid w:val="00A613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55522"/>
  <w15:docId w15:val="{4F1D223A-13D1-4B1D-A4FC-C4DF7B6DF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Arial" w:eastAsia="Arial" w:hAnsi="Arial" w:cs="Arial"/>
      <w:b w:val="0"/>
      <w:bCs w:val="0"/>
      <w:i w:val="0"/>
      <w:iCs w:val="0"/>
      <w:smallCaps w:val="0"/>
      <w:strike w:val="0"/>
      <w:sz w:val="18"/>
      <w:szCs w:val="18"/>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6"/>
      <w:szCs w:val="16"/>
      <w:u w:val="none"/>
      <w:shd w:val="clear" w:color="auto" w:fill="auto"/>
    </w:rPr>
  </w:style>
  <w:style w:type="character" w:customStyle="1" w:styleId="Tiu1">
    <w:name w:val="Tiêu đề #1_"/>
    <w:basedOn w:val="DefaultParagraphFont"/>
    <w:link w:val="Tiu10"/>
    <w:rPr>
      <w:rFonts w:ascii="Arial" w:eastAsia="Arial" w:hAnsi="Arial" w:cs="Arial"/>
      <w:b w:val="0"/>
      <w:bCs w:val="0"/>
      <w:i w:val="0"/>
      <w:iCs w:val="0"/>
      <w:smallCaps w:val="0"/>
      <w:strike w:val="0"/>
      <w:sz w:val="26"/>
      <w:szCs w:val="26"/>
      <w:u w:val="none"/>
      <w:shd w:val="clear" w:color="auto" w:fill="auto"/>
    </w:rPr>
  </w:style>
  <w:style w:type="character" w:customStyle="1" w:styleId="Chthchbng">
    <w:name w:val="Chú thích bảng_"/>
    <w:basedOn w:val="DefaultParagraphFont"/>
    <w:link w:val="Chthchbng0"/>
    <w:rPr>
      <w:rFonts w:ascii="Arial" w:eastAsia="Arial" w:hAnsi="Arial" w:cs="Arial"/>
      <w:b w:val="0"/>
      <w:bCs w:val="0"/>
      <w:i w:val="0"/>
      <w:iCs w:val="0"/>
      <w:smallCaps w:val="0"/>
      <w:strike w:val="0"/>
      <w:sz w:val="18"/>
      <w:szCs w:val="18"/>
      <w:u w:val="none"/>
      <w:shd w:val="clear" w:color="auto" w:fill="auto"/>
    </w:rPr>
  </w:style>
  <w:style w:type="character" w:customStyle="1" w:styleId="Khc">
    <w:name w:val="Khác_"/>
    <w:basedOn w:val="DefaultParagraphFont"/>
    <w:link w:val="Khc0"/>
    <w:rPr>
      <w:rFonts w:ascii="Arial" w:eastAsia="Arial" w:hAnsi="Arial" w:cs="Arial"/>
      <w:b w:val="0"/>
      <w:bCs w:val="0"/>
      <w:i w:val="0"/>
      <w:iCs w:val="0"/>
      <w:smallCaps w:val="0"/>
      <w:strike w:val="0"/>
      <w:sz w:val="18"/>
      <w:szCs w:val="18"/>
      <w:u w:val="none"/>
      <w:shd w:val="clear" w:color="auto" w:fill="auto"/>
    </w:rPr>
  </w:style>
  <w:style w:type="paragraph" w:customStyle="1" w:styleId="Vnbnnidung0">
    <w:name w:val="Văn bản nội dung"/>
    <w:basedOn w:val="Normal"/>
    <w:link w:val="Vnbnnidung"/>
    <w:pPr>
      <w:spacing w:line="360" w:lineRule="auto"/>
    </w:pPr>
    <w:rPr>
      <w:rFonts w:ascii="Arial" w:eastAsia="Arial" w:hAnsi="Arial" w:cs="Arial"/>
      <w:sz w:val="18"/>
      <w:szCs w:val="18"/>
    </w:rPr>
  </w:style>
  <w:style w:type="paragraph" w:customStyle="1" w:styleId="Vnbnnidung20">
    <w:name w:val="Văn bản nội dung (2)"/>
    <w:basedOn w:val="Normal"/>
    <w:link w:val="Vnbnnidung2"/>
    <w:pPr>
      <w:ind w:firstLine="500"/>
    </w:pPr>
    <w:rPr>
      <w:rFonts w:ascii="Arial" w:eastAsia="Arial" w:hAnsi="Arial" w:cs="Arial"/>
      <w:sz w:val="16"/>
      <w:szCs w:val="16"/>
    </w:rPr>
  </w:style>
  <w:style w:type="paragraph" w:customStyle="1" w:styleId="Tiu10">
    <w:name w:val="Tiêu đề #1"/>
    <w:basedOn w:val="Normal"/>
    <w:link w:val="Tiu1"/>
    <w:pPr>
      <w:jc w:val="center"/>
      <w:outlineLvl w:val="0"/>
    </w:pPr>
    <w:rPr>
      <w:rFonts w:ascii="Arial" w:eastAsia="Arial" w:hAnsi="Arial" w:cs="Arial"/>
      <w:sz w:val="26"/>
      <w:szCs w:val="26"/>
    </w:rPr>
  </w:style>
  <w:style w:type="paragraph" w:customStyle="1" w:styleId="Chthchbng0">
    <w:name w:val="Chú thích bảng"/>
    <w:basedOn w:val="Normal"/>
    <w:link w:val="Chthchbng"/>
    <w:rPr>
      <w:rFonts w:ascii="Arial" w:eastAsia="Arial" w:hAnsi="Arial" w:cs="Arial"/>
      <w:sz w:val="18"/>
      <w:szCs w:val="18"/>
    </w:rPr>
  </w:style>
  <w:style w:type="paragraph" w:customStyle="1" w:styleId="Khc0">
    <w:name w:val="Khác"/>
    <w:basedOn w:val="Normal"/>
    <w:link w:val="Khc"/>
    <w:pPr>
      <w:spacing w:line="360" w:lineRule="auto"/>
    </w:pPr>
    <w:rPr>
      <w:rFonts w:ascii="Arial" w:eastAsia="Arial" w:hAnsi="Arial" w:cs="Arial"/>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0L9eGzPo9gFSBbgH0QnCLrpILQ==">CgMxLjA4AHIhMVVEU3ItVjUtTy1xRklNbG1uUnBELU94QXh2cVRnb1Bk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310</Words>
  <Characters>1769</Characters>
  <Application>Microsoft Office Word</Application>
  <DocSecurity>0</DocSecurity>
  <Lines>14</Lines>
  <Paragraphs>4</Paragraphs>
  <ScaleCrop>false</ScaleCrop>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Đinh Thị Chung TA45A</cp:lastModifiedBy>
  <cp:revision>5</cp:revision>
  <dcterms:created xsi:type="dcterms:W3CDTF">2024-07-01T03:23:00Z</dcterms:created>
  <dcterms:modified xsi:type="dcterms:W3CDTF">2024-07-02T02:10:00Z</dcterms:modified>
</cp:coreProperties>
</file>