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20B" w:rsidRDefault="008F56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VGR: Board Resolution</w:t>
      </w:r>
    </w:p>
    <w:p w14:paraId="00000002" w14:textId="63843B8C" w:rsidR="00CD020B" w:rsidRDefault="008F56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On June 28, 2024, Vip GreenPort Joint Stock Company announced </w:t>
      </w:r>
      <w:r w:rsidR="00242558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>Resolution No. 05/2024/NQ-HDQT as follows:</w:t>
      </w:r>
    </w:p>
    <w:p w14:paraId="00000003" w14:textId="77777777" w:rsidR="00CD020B" w:rsidRDefault="008F56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Article 1: Based on Annual General Mandate No. 01/2024/NQ-DHDCD dated March 14, 2024, the Board of Directors was authorized to select a reputable independent audit company licensed to operate in Vietnam and approved by the State Securities Commission to au</w:t>
      </w:r>
      <w:r>
        <w:rPr>
          <w:rFonts w:ascii="Arial" w:hAnsi="Arial"/>
          <w:color w:val="010000"/>
          <w:sz w:val="20"/>
        </w:rPr>
        <w:t>dit for the Issuers list and audit the Company's Financial Statements 2024 .</w:t>
      </w:r>
      <w:r>
        <w:rPr>
          <w:rFonts w:ascii="Arial" w:hAnsi="Arial"/>
          <w:color w:val="010000"/>
          <w:sz w:val="20"/>
        </w:rPr>
        <w:t xml:space="preserve"> After thoughtful consideration, PWC (Vietnam) Limited was selected to review the Semi-annual Financial Statements and audit the Financial Statements 2024 for Vip GreenPort Joint S</w:t>
      </w:r>
      <w:r>
        <w:rPr>
          <w:rFonts w:ascii="Arial" w:hAnsi="Arial"/>
          <w:color w:val="010000"/>
          <w:sz w:val="20"/>
        </w:rPr>
        <w:t>tock Company</w:t>
      </w:r>
    </w:p>
    <w:p w14:paraId="00000004" w14:textId="77777777" w:rsidR="00CD020B" w:rsidRDefault="008F56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2: </w:t>
      </w:r>
      <w:r>
        <w:rPr>
          <w:rFonts w:ascii="Arial" w:hAnsi="Arial"/>
          <w:color w:val="010000"/>
          <w:sz w:val="20"/>
        </w:rPr>
        <w:t>Assign the Manager of the Company to direct the completion of necessary procedures and implement the signing of the audit contract in accordance with current regulations.</w:t>
      </w:r>
    </w:p>
    <w:p w14:paraId="00000005" w14:textId="3FF60EB2" w:rsidR="00CD020B" w:rsidRDefault="008F5623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Article 3: This </w:t>
      </w:r>
      <w:r w:rsidR="00F924F9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takes effect from the date of its </w:t>
      </w:r>
      <w:r>
        <w:rPr>
          <w:rFonts w:ascii="Arial" w:hAnsi="Arial"/>
          <w:color w:val="010000"/>
          <w:sz w:val="20"/>
        </w:rPr>
        <w:t>signing.</w:t>
      </w:r>
      <w:r>
        <w:rPr>
          <w:rFonts w:ascii="Arial" w:hAnsi="Arial"/>
          <w:color w:val="010000"/>
          <w:sz w:val="20"/>
        </w:rPr>
        <w:t xml:space="preserve"> Members of the Board of Directors, the Manager, related units and individuals are responsible for the implementation.</w:t>
      </w:r>
    </w:p>
    <w:sectPr w:rsidR="00CD020B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B"/>
    <w:rsid w:val="00242558"/>
    <w:rsid w:val="008F5623"/>
    <w:rsid w:val="00CD020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B178"/>
  <w15:docId w15:val="{2EEBBFD1-816B-4F6C-8C66-5DECB14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8" w:lineRule="auto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bGA31Yhk5zeE3wI+RqP88Kt9w==">CgMxLjA4AHIhMUpjUEN0bG9WTEdSc3M2R1BpSWZncW9pb3p5V19QNm5T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Đinh Thị Chung TA45A</cp:lastModifiedBy>
  <cp:revision>4</cp:revision>
  <dcterms:created xsi:type="dcterms:W3CDTF">2024-07-01T03:24:00Z</dcterms:created>
  <dcterms:modified xsi:type="dcterms:W3CDTF">2024-07-02T02:11:00Z</dcterms:modified>
</cp:coreProperties>
</file>